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David" w:cs="David" w:eastAsia="David" w:hAnsi="David"/>
          <w:i/>
          <w:iCs/>
          <w:color w:val="888888"/>
          <w:sz w:val="18"/>
          <w:szCs w:val="18"/>
          <w:rtl/>
        </w:rPr>
        <w:t xml:space="preserve">טיוטה לדיון פנימי — אינה מהווה מסמך מוסכם</w:t>
      </w:r>
    </w:p>
    <w:p>
      <w:pPr>
        <w:bidi/>
        <w:spacing w:after="100"/>
        <w:jc w:val="center"/>
      </w:pPr>
      <w:r>
        <w:rPr>
          <w:rFonts w:ascii="David" w:cs="David" w:eastAsia="David" w:hAnsi="David"/>
          <w:b/>
          <w:bCs/>
          <w:sz w:val="34"/>
          <w:szCs w:val="34"/>
          <w:rtl/>
        </w:rPr>
        <w:t xml:space="preserve">נוהל עבודה משותף</w:t>
      </w:r>
    </w:p>
    <w:p>
      <w:pPr>
        <w:bidi/>
        <w:spacing w:after="100"/>
        <w:jc w:val="center"/>
      </w:pPr>
      <w:r>
        <w:rPr>
          <w:rFonts w:ascii="David" w:cs="David" w:eastAsia="David" w:hAnsi="David"/>
          <w:b/>
          <w:bCs/>
          <w:sz w:val="26"/>
          <w:szCs w:val="26"/>
          <w:rtl/>
        </w:rPr>
        <w:t xml:space="preserve">בין משרד החינוך לבין משרד העבודה (הכלכלה והתעשייה)</w:t>
      </w:r>
    </w:p>
    <w:p>
      <w:pPr>
        <w:bidi/>
        <w:spacing w:after="40"/>
        <w:jc w:val="center"/>
      </w:pPr>
      <w:r>
        <w:rPr>
          <w:rFonts w:ascii="David" w:cs="David" w:eastAsia="David" w:hAnsi="David"/>
          <w:sz w:val="24"/>
          <w:szCs w:val="24"/>
          <w:rtl/>
        </w:rPr>
        <w:t xml:space="preserve">בנושא בקרת מעונות יום ומימון תקינה מורחבת ובסיסית</w:t>
      </w:r>
    </w:p>
    <w:p>
      <w:pPr>
        <w:bidi/>
        <w:spacing w:after="300"/>
        <w:jc w:val="center"/>
      </w:pPr>
      <w:r>
        <w:rPr>
          <w:rFonts w:ascii="David" w:cs="David" w:eastAsia="David" w:hAnsi="David"/>
          <w:i/>
          <w:iCs/>
          <w:color w:val="555555"/>
          <w:sz w:val="20"/>
          <w:szCs w:val="20"/>
          <w:rtl/>
        </w:rPr>
        <w:t xml:space="preserve">בהתאם להחלטת ממשלה מס' 951 מיום 09.01.2022</w:t>
      </w:r>
    </w:p>
    <w:p>
      <w:pPr>
        <w:pStyle w:val="Heading1"/>
        <w:bidi/>
        <w:spacing w:after="160" w:before="320"/>
        <w:jc w:val="right"/>
      </w:pPr>
      <w:r>
        <w:rPr>
          <w:rFonts w:ascii="David" w:cs="David" w:eastAsia="David" w:hAnsi="David"/>
          <w:b/>
          <w:bCs/>
          <w:rtl/>
        </w:rPr>
        <w:t xml:space="preserve">1. רקע</w:t>
      </w:r>
    </w:p>
    <w:p>
      <w:pPr>
        <w:bidi/>
        <w:spacing w:after="160" w:line="300"/>
        <w:jc w:val="right"/>
      </w:pPr>
      <w:r>
        <w:rPr>
          <w:rFonts w:ascii="David" w:cs="David" w:eastAsia="David" w:hAnsi="David"/>
          <w:b w:val="false"/>
          <w:bCs w:val="false"/>
          <w:i w:val="false"/>
          <w:iCs w:val="false"/>
          <w:sz w:val="22"/>
          <w:szCs w:val="22"/>
          <w:rtl/>
        </w:rPr>
        <w:t xml:space="preserve">בהחלטת ממשלה מס' 951 מיום 9.1.2022 ("העברת תחום מעונות היום לפעוטות למשרד החינוך") הועברה למשרד החינוך האחריות לתחומי הפעולה השטחיים בתחום הבקרה והאכיפה על מעונות יום, לרבות סמכויות הרישוי, קביעת אמות מידה מקצועיות והכשרת צוותי חינוך וטיפול, וזאת בהתאם לחוק הפיקוח על מעונות יום לפעוטות, התשע"ט-2018, ולחוקים הנלווים לו.</w:t>
      </w:r>
    </w:p>
    <w:p>
      <w:pPr>
        <w:bidi/>
        <w:spacing w:after="160" w:line="300"/>
        <w:jc w:val="right"/>
      </w:pPr>
      <w:r>
        <w:rPr>
          <w:rFonts w:ascii="David" w:cs="David" w:eastAsia="David" w:hAnsi="David"/>
          <w:b w:val="false"/>
          <w:bCs w:val="false"/>
          <w:i w:val="false"/>
          <w:iCs w:val="false"/>
          <w:sz w:val="22"/>
          <w:szCs w:val="22"/>
          <w:rtl/>
        </w:rPr>
        <w:t xml:space="preserve">יחד עם זאת, האחריות התקציבית להכרה בתקינה המורחבת ולתשלום בגינה - לרבות מבחני התמיכה, קביעת סכומי הסבסוד ואמות המידה לזכאות הורים - נותרה בידי משרד העבודה (הכלכלה והתעשייה), שממשיך לשמש הגוף המשלם.</w:t>
      </w:r>
    </w:p>
    <w:p>
      <w:pPr>
        <w:bidi/>
        <w:spacing w:after="160" w:line="300"/>
        <w:jc w:val="right"/>
      </w:pPr>
      <w:r>
        <w:rPr>
          <w:rFonts w:ascii="David" w:cs="David" w:eastAsia="David" w:hAnsi="David"/>
          <w:b w:val="false"/>
          <w:bCs w:val="false"/>
          <w:i w:val="false"/>
          <w:iCs w:val="false"/>
          <w:sz w:val="22"/>
          <w:szCs w:val="22"/>
          <w:rtl/>
        </w:rPr>
        <w:t xml:space="preserve">חלוקת האחריות בין שני משרדים - כאשר משרד אחד מבצע את הבקרה המקצועית והשני נושא באחריות התשלום - מחייבת נוהל עבודה מוסכם וברור, כדי להבטיח שהתקציב ישולם בהתאם לממצאי הבקרה בפועל: לא ישולם ביתר במקרים בהם התקינה אינה מיושמת הלכה למעשה, ומנגד - לא יימנע או יתעכב תשלום מוצדק בשל חוסר סנכרון בין המשרדים.</w:t>
      </w:r>
    </w:p>
    <w:p>
      <w:pPr>
        <w:bidi/>
        <w:spacing w:after="160" w:line="300"/>
        <w:jc w:val="right"/>
      </w:pPr>
      <w:r>
        <w:rPr>
          <w:rFonts w:ascii="David" w:cs="David" w:eastAsia="David" w:hAnsi="David"/>
          <w:b w:val="false"/>
          <w:bCs w:val="false"/>
          <w:i w:val="false"/>
          <w:iCs w:val="false"/>
          <w:sz w:val="22"/>
          <w:szCs w:val="22"/>
          <w:rtl/>
        </w:rPr>
        <w:t xml:space="preserve">לאור קשיים שעלו ביישום בפועל, מוצע לגבש נוהל עבודה משותף שיוסכם ויאושר על ידי שני המשרדים, כמפורט להלן.</w:t>
      </w:r>
    </w:p>
    <w:p>
      <w:pPr>
        <w:pStyle w:val="Heading1"/>
        <w:bidi/>
        <w:spacing w:after="160" w:before="320"/>
        <w:jc w:val="right"/>
      </w:pPr>
      <w:r>
        <w:rPr>
          <w:rFonts w:ascii="David" w:cs="David" w:eastAsia="David" w:hAnsi="David"/>
          <w:b/>
          <w:bCs/>
          <w:rtl/>
        </w:rPr>
        <w:t xml:space="preserve">2. מטרת הנוהל</w:t>
      </w:r>
    </w:p>
    <w:p>
      <w:pPr>
        <w:bidi/>
        <w:spacing w:after="160" w:line="300"/>
        <w:jc w:val="right"/>
      </w:pPr>
      <w:r>
        <w:rPr>
          <w:rFonts w:ascii="David" w:cs="David" w:eastAsia="David" w:hAnsi="David"/>
          <w:b w:val="false"/>
          <w:bCs w:val="false"/>
          <w:i w:val="false"/>
          <w:iCs w:val="false"/>
          <w:sz w:val="22"/>
          <w:szCs w:val="22"/>
          <w:rtl/>
        </w:rPr>
        <w:t xml:space="preserve">הגדרת תהליך עבודה מסודר, עם לוחות זמנים ואחריות ברורה, לסנכרון בין תוצרי הבקרה של משרד החינוך לבין מנגנון התשלום/הקיזוז של משרד העבודה, באופן אשר:</w:t>
      </w:r>
    </w:p>
    <w:p>
      <w:pPr>
        <w:pStyle w:val="ListParagraph"/>
        <w:numPr>
          <w:ilvl w:val="0"/>
          <w:numId w:val="2"/>
        </w:numPr>
        <w:bidi/>
        <w:spacing w:after="120" w:line="300"/>
        <w:jc w:val="right"/>
      </w:pPr>
      <w:r>
        <w:rPr>
          <w:rFonts w:ascii="David" w:cs="David" w:eastAsia="David" w:hAnsi="David"/>
          <w:sz w:val="22"/>
          <w:szCs w:val="22"/>
          <w:rtl/>
        </w:rPr>
        <w:t xml:space="preserve">יתמרץ את משרד החינוך לבצע את הבקרה במלואה ובמועד.</w:t>
      </w:r>
    </w:p>
    <w:p>
      <w:pPr>
        <w:pStyle w:val="ListParagraph"/>
        <w:numPr>
          <w:ilvl w:val="0"/>
          <w:numId w:val="2"/>
        </w:numPr>
        <w:bidi/>
        <w:spacing w:after="120" w:line="300"/>
        <w:jc w:val="right"/>
      </w:pPr>
      <w:r>
        <w:rPr>
          <w:rFonts w:ascii="David" w:cs="David" w:eastAsia="David" w:hAnsi="David"/>
          <w:sz w:val="22"/>
          <w:szCs w:val="22"/>
          <w:rtl/>
        </w:rPr>
        <w:t xml:space="preserve">לא יגרום למשרד העבודה לשלם ביתר או להימנע מתשלום שלא לצורך.</w:t>
      </w:r>
    </w:p>
    <w:p>
      <w:pPr>
        <w:pStyle w:val="ListParagraph"/>
        <w:numPr>
          <w:ilvl w:val="0"/>
          <w:numId w:val="2"/>
        </w:numPr>
        <w:bidi/>
        <w:spacing w:after="120" w:line="300"/>
        <w:jc w:val="right"/>
      </w:pPr>
      <w:r>
        <w:rPr>
          <w:rFonts w:ascii="David" w:cs="David" w:eastAsia="David" w:hAnsi="David"/>
          <w:sz w:val="22"/>
          <w:szCs w:val="22"/>
          <w:rtl/>
        </w:rPr>
        <w:t xml:space="preserve">יבטיח לבעלויות המעונות הליך תקין וזכות טיעון לפני כל שינוי בתשלום.</w:t>
      </w:r>
    </w:p>
    <w:p>
      <w:pPr>
        <w:pStyle w:val="ListParagraph"/>
        <w:numPr>
          <w:ilvl w:val="0"/>
          <w:numId w:val="2"/>
        </w:numPr>
        <w:bidi/>
        <w:spacing w:after="120" w:line="300"/>
        <w:jc w:val="right"/>
      </w:pPr>
      <w:r>
        <w:rPr>
          <w:rFonts w:ascii="David" w:cs="David" w:eastAsia="David" w:hAnsi="David"/>
          <w:sz w:val="22"/>
          <w:szCs w:val="22"/>
          <w:rtl/>
        </w:rPr>
        <w:t xml:space="preserve">ימנע מצב של "תקציב באוויר" - היעדר החלטה עד למועד שבו נדרשת ודאות תקציבית.</w:t>
      </w:r>
    </w:p>
    <w:p>
      <w:pPr>
        <w:pStyle w:val="Heading1"/>
        <w:bidi/>
        <w:spacing w:after="160" w:before="320"/>
        <w:jc w:val="right"/>
      </w:pPr>
      <w:r>
        <w:rPr>
          <w:rFonts w:ascii="David" w:cs="David" w:eastAsia="David" w:hAnsi="David"/>
          <w:b/>
          <w:bCs/>
          <w:rtl/>
        </w:rPr>
        <w:t xml:space="preserve">3. עקרונות מוצעים לנוהל</w:t>
      </w:r>
    </w:p>
    <w:p>
      <w:pPr>
        <w:bidi/>
        <w:spacing w:after="100" w:before="160"/>
        <w:jc w:val="right"/>
      </w:pPr>
      <w:r>
        <w:rPr>
          <w:rFonts w:ascii="David" w:cs="David" w:eastAsia="David" w:hAnsi="David"/>
          <w:b/>
          <w:bCs/>
          <w:sz w:val="22"/>
          <w:szCs w:val="22"/>
          <w:u w:val="single"/>
          <w:rtl/>
        </w:rPr>
        <w:t xml:space="preserve">3.1 לוח זמנים לסיום הבקרה השוטפת</w:t>
      </w:r>
    </w:p>
    <w:p>
      <w:pPr>
        <w:bidi/>
        <w:spacing w:after="160" w:line="300"/>
        <w:jc w:val="right"/>
      </w:pPr>
      <w:r>
        <w:rPr>
          <w:rFonts w:ascii="David" w:cs="David" w:eastAsia="David" w:hAnsi="David"/>
          <w:b w:val="false"/>
          <w:bCs w:val="false"/>
          <w:i w:val="false"/>
          <w:iCs w:val="false"/>
          <w:sz w:val="22"/>
          <w:szCs w:val="22"/>
          <w:rtl/>
        </w:rPr>
        <w:t xml:space="preserve">משרד החינוך יתחייב לסיים את סבבי הבקרה השוטפים (בקרת תקינה מורחבת ובסיסית, לרבות בקרות חוזרות) במהלך שנת התקציב השוטפת, עד מועד ריאלי שייקבע מראש ובהתאם ליכולת הביצוע בפועל (בהתבסס על תוכנית העבודה והגאנט השנתי של אגף א' בקרה ואכיפה).</w:t>
      </w:r>
    </w:p>
    <w:p>
      <w:pPr>
        <w:bidi/>
        <w:spacing w:after="160" w:line="300"/>
        <w:jc w:val="right"/>
      </w:pPr>
      <w:r>
        <w:rPr>
          <w:rFonts w:ascii="David" w:cs="David" w:eastAsia="David" w:hAnsi="David"/>
          <w:b w:val="false"/>
          <w:bCs w:val="false"/>
          <w:i w:val="false"/>
          <w:iCs w:val="false"/>
          <w:sz w:val="22"/>
          <w:szCs w:val="22"/>
          <w:rtl/>
        </w:rPr>
        <w:t xml:space="preserve">המועד המוצע לסיום הבקרה והעברת דוח סופי ומאומת למשרד העבודה הינו 31 במאי בכל שנה, כך שיתאפשר למשרד העבודה לבצע את ההתאמות התקציביות הנדרשות עד תום אותה שנת תקציב.</w:t>
      </w:r>
    </w:p>
    <w:p>
      <w:pPr>
        <w:bidi/>
        <w:spacing w:after="100" w:before="160"/>
        <w:jc w:val="right"/>
      </w:pPr>
      <w:r>
        <w:rPr>
          <w:rFonts w:ascii="David" w:cs="David" w:eastAsia="David" w:hAnsi="David"/>
          <w:b/>
          <w:bCs/>
          <w:sz w:val="22"/>
          <w:szCs w:val="22"/>
          <w:u w:val="single"/>
          <w:rtl/>
        </w:rPr>
        <w:t xml:space="preserve">3.2 הליך סופי הכולל שימוע - כתנאי לעדכון</w:t>
      </w:r>
    </w:p>
    <w:p>
      <w:pPr>
        <w:bidi/>
        <w:spacing w:after="160" w:line="300"/>
        <w:jc w:val="right"/>
      </w:pPr>
      <w:r>
        <w:rPr>
          <w:rFonts w:ascii="David" w:cs="David" w:eastAsia="David" w:hAnsi="David"/>
          <w:b w:val="false"/>
          <w:bCs w:val="false"/>
          <w:i w:val="false"/>
          <w:iCs w:val="false"/>
          <w:sz w:val="22"/>
          <w:szCs w:val="22"/>
          <w:rtl/>
        </w:rPr>
        <w:t xml:space="preserve">כל שינוי בהכרה בתקינה או בתשלום בגין מעון מסוים ייעשה רק לאחר השלמת הליך סופי ומלא, הכולל: מסירת ממצאי הבקרה לבעלות, מתן זכות טיעון/שימוע, ומתן החלטה סופית מנומקת.</w:t>
      </w:r>
    </w:p>
    <w:p>
      <w:pPr>
        <w:bidi/>
        <w:spacing w:after="160" w:line="300"/>
        <w:jc w:val="right"/>
      </w:pPr>
      <w:r>
        <w:rPr>
          <w:rFonts w:ascii="David" w:cs="David" w:eastAsia="David" w:hAnsi="David"/>
          <w:b w:val="false"/>
          <w:bCs w:val="false"/>
          <w:i w:val="false"/>
          <w:iCs w:val="false"/>
          <w:sz w:val="22"/>
          <w:szCs w:val="22"/>
          <w:rtl/>
        </w:rPr>
        <w:t xml:space="preserve">רק לאחר שהליך השימוע וההחלטה הסופית הסתיימו - יועברו הנתונים למשרד העבודה לצורך עדכון בפועל של התשלום. לא יועבר עדכון תשלום על בסיס ממצא ביניים או ממצא שטרם מוצה לגביו הליך השימוע.</w:t>
      </w:r>
    </w:p>
    <w:p>
      <w:pPr>
        <w:bidi/>
        <w:spacing w:after="100" w:before="160"/>
        <w:jc w:val="right"/>
      </w:pPr>
      <w:r>
        <w:rPr>
          <w:rFonts w:ascii="David" w:cs="David" w:eastAsia="David" w:hAnsi="David"/>
          <w:b/>
          <w:bCs/>
          <w:sz w:val="22"/>
          <w:szCs w:val="22"/>
          <w:u w:val="single"/>
          <w:rtl/>
        </w:rPr>
        <w:t xml:space="preserve">3.3 עדכון שנתי מראש במקרה של היעדר שינוי</w:t>
      </w:r>
    </w:p>
    <w:p>
      <w:pPr>
        <w:bidi/>
        <w:spacing w:after="160" w:line="300"/>
        <w:jc w:val="right"/>
      </w:pPr>
      <w:r>
        <w:rPr>
          <w:rFonts w:ascii="David" w:cs="David" w:eastAsia="David" w:hAnsi="David"/>
          <w:b w:val="false"/>
          <w:bCs w:val="false"/>
          <w:i w:val="false"/>
          <w:iCs w:val="false"/>
          <w:sz w:val="22"/>
          <w:szCs w:val="22"/>
          <w:rtl/>
        </w:rPr>
        <w:t xml:space="preserve">לגבי מעונות שלגביהם לא נמצא שינוי בבקרה (התקינה בפועל תואמת את הדיווח הקיים), יעביר משרד החינוך למשרד העבודה מראש, לפני תחילת כל שנת תקציב, הצהרה מרוכזת כי אין שינוי הנדרש, כך שהתשלום השוטף יימשך כסדרו וללא צורך באישור פרטני חוזר לכל מעון.</w:t>
      </w:r>
    </w:p>
    <w:p>
      <w:pPr>
        <w:bidi/>
        <w:spacing w:after="100" w:before="160"/>
        <w:jc w:val="right"/>
      </w:pPr>
      <w:r>
        <w:rPr>
          <w:rFonts w:ascii="David" w:cs="David" w:eastAsia="David" w:hAnsi="David"/>
          <w:b/>
          <w:bCs/>
          <w:sz w:val="22"/>
          <w:szCs w:val="22"/>
          <w:u w:val="single"/>
          <w:rtl/>
        </w:rPr>
        <w:t xml:space="preserve">3.4 תשומות והיערכות מוקדמת של משרד העבודה</w:t>
      </w:r>
    </w:p>
    <w:p>
      <w:pPr>
        <w:bidi/>
        <w:spacing w:after="160" w:line="300"/>
        <w:jc w:val="right"/>
      </w:pPr>
      <w:r>
        <w:rPr>
          <w:rFonts w:ascii="David" w:cs="David" w:eastAsia="David" w:hAnsi="David"/>
          <w:b w:val="false"/>
          <w:bCs w:val="false"/>
          <w:i w:val="false"/>
          <w:iCs w:val="false"/>
          <w:sz w:val="22"/>
          <w:szCs w:val="22"/>
          <w:rtl/>
        </w:rPr>
        <w:t xml:space="preserve">משרד החינוך יביא בחשבון את צורכי ההיערכות של משרד העבודה כגוף המשלם, ויפעל להעברת הנתונים והתשומות הנדרשות בפרק זמן שיאפשר למשרד העבודה לבצע את ההתאמות התקציביות בזמן, כך שלא יישאר תקציב "באוויר" ללא החלטה עד תום שנת התקציב.</w:t>
      </w:r>
    </w:p>
    <w:p>
      <w:pPr>
        <w:bidi/>
        <w:spacing w:after="100" w:before="160"/>
        <w:jc w:val="right"/>
      </w:pPr>
      <w:r>
        <w:rPr>
          <w:rFonts w:ascii="David" w:cs="David" w:eastAsia="David" w:hAnsi="David"/>
          <w:b/>
          <w:bCs/>
          <w:sz w:val="22"/>
          <w:szCs w:val="22"/>
          <w:u w:val="single"/>
          <w:rtl/>
        </w:rPr>
        <w:t xml:space="preserve">3.5 אחריות על השיח והתקשורת מול הגופים המפוקחים</w:t>
      </w:r>
    </w:p>
    <w:p>
      <w:pPr>
        <w:bidi/>
        <w:spacing w:after="160" w:line="300"/>
        <w:jc w:val="right"/>
      </w:pPr>
      <w:r>
        <w:rPr>
          <w:rFonts w:ascii="David" w:cs="David" w:eastAsia="David" w:hAnsi="David"/>
          <w:b w:val="false"/>
          <w:bCs w:val="false"/>
          <w:i w:val="false"/>
          <w:iCs w:val="false"/>
          <w:sz w:val="22"/>
          <w:szCs w:val="22"/>
          <w:rtl/>
        </w:rPr>
        <w:t xml:space="preserve">האחריות המלאה על השיח והתקשורת השוטפת מול הבעלויות והגופים המפוקחים בעניין ממצאי הבקרה - לרבות משלוח הודעות על ממצאים, ניהול הליך השימוע, ומשלוח הודעות הקיזוז הנובעות מהממצאים - תהיה על משרד החינוך, אשר יישא באחריות המלאה על תקינות ההליך מול הבעלויות.</w:t>
      </w:r>
    </w:p>
    <w:p>
      <w:pPr>
        <w:bidi/>
        <w:spacing w:after="160" w:line="300"/>
        <w:jc w:val="right"/>
      </w:pPr>
      <w:r>
        <w:rPr>
          <w:rFonts w:ascii="David" w:cs="David" w:eastAsia="David" w:hAnsi="David"/>
          <w:b w:val="false"/>
          <w:bCs w:val="false"/>
          <w:i w:val="false"/>
          <w:iCs w:val="false"/>
          <w:sz w:val="22"/>
          <w:szCs w:val="22"/>
          <w:rtl/>
        </w:rPr>
        <w:t xml:space="preserve">משרד העבודה יפעל לביצוע הקיזוז בהתאם לנתונים הסופיים שיועברו אליו על ידי משרד החינוך, ולא יידרש לנהל שיח עצמאי מול הבעלויות בעניין הממצאים לגופם.</w:t>
      </w:r>
    </w:p>
    <w:p>
      <w:pPr>
        <w:pStyle w:val="Heading1"/>
        <w:bidi/>
        <w:spacing w:after="160" w:before="320"/>
        <w:jc w:val="right"/>
      </w:pPr>
      <w:r>
        <w:rPr>
          <w:rFonts w:ascii="David" w:cs="David" w:eastAsia="David" w:hAnsi="David"/>
          <w:b/>
          <w:bCs/>
          <w:rtl/>
        </w:rPr>
        <w:t xml:space="preserve">4. טבלת תהליך ואחריות - הצעה לדיון</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rPr>
          <w:tblHeader/>
        </w:trPr>
        <w:tc>
          <w:tcPr>
            <w:tcW w:type="dxa" w:w="2600"/>
            <w:shd w:fill="1F3864" w:val="clear"/>
            <w:tcMar>
              <w:top w:type="dxa" w:w="100"/>
              <w:left w:type="dxa" w:w="120"/>
              <w:bottom w:type="dxa" w:w="100"/>
              <w:right w:type="dxa" w:w="120"/>
            </w:tcMar>
          </w:tcPr>
          <w:p>
            <w:pPr>
              <w:bidi/>
              <w:jc w:val="center"/>
            </w:pPr>
            <w:r>
              <w:rPr>
                <w:rFonts w:ascii="David" w:cs="David" w:eastAsia="David" w:hAnsi="David"/>
                <w:b/>
                <w:bCs/>
                <w:color w:val="FFFFFF"/>
                <w:sz w:val="20"/>
                <w:szCs w:val="20"/>
                <w:rtl/>
              </w:rPr>
              <w:t xml:space="preserve">שלב בתהליך</w:t>
            </w:r>
          </w:p>
        </w:tc>
        <w:tc>
          <w:tcPr>
            <w:tcW w:type="dxa" w:w="2600"/>
            <w:shd w:fill="1F3864" w:val="clear"/>
            <w:tcMar>
              <w:top w:type="dxa" w:w="100"/>
              <w:left w:type="dxa" w:w="120"/>
              <w:bottom w:type="dxa" w:w="100"/>
              <w:right w:type="dxa" w:w="120"/>
            </w:tcMar>
          </w:tcPr>
          <w:p>
            <w:pPr>
              <w:bidi/>
              <w:jc w:val="center"/>
            </w:pPr>
            <w:r>
              <w:rPr>
                <w:rFonts w:ascii="David" w:cs="David" w:eastAsia="David" w:hAnsi="David"/>
                <w:b/>
                <w:bCs/>
                <w:color w:val="FFFFFF"/>
                <w:sz w:val="20"/>
                <w:szCs w:val="20"/>
                <w:rtl/>
              </w:rPr>
              <w:t xml:space="preserve">גורם אחראי</w:t>
            </w:r>
          </w:p>
        </w:tc>
        <w:tc>
          <w:tcPr>
            <w:tcW w:type="dxa" w:w="2600"/>
            <w:shd w:fill="1F3864" w:val="clear"/>
            <w:tcMar>
              <w:top w:type="dxa" w:w="100"/>
              <w:left w:type="dxa" w:w="120"/>
              <w:bottom w:type="dxa" w:w="100"/>
              <w:right w:type="dxa" w:w="120"/>
            </w:tcMar>
          </w:tcPr>
          <w:p>
            <w:pPr>
              <w:bidi/>
              <w:jc w:val="center"/>
            </w:pPr>
            <w:r>
              <w:rPr>
                <w:rFonts w:ascii="David" w:cs="David" w:eastAsia="David" w:hAnsi="David"/>
                <w:b/>
                <w:bCs/>
                <w:color w:val="FFFFFF"/>
                <w:sz w:val="20"/>
                <w:szCs w:val="20"/>
                <w:rtl/>
              </w:rPr>
              <w:t xml:space="preserve">תוצר / פלט</w:t>
            </w:r>
          </w:p>
        </w:tc>
        <w:tc>
          <w:tcPr>
            <w:tcW w:type="dxa" w:w="2600"/>
            <w:shd w:fill="1F3864" w:val="clear"/>
            <w:tcMar>
              <w:top w:type="dxa" w:w="100"/>
              <w:left w:type="dxa" w:w="120"/>
              <w:bottom w:type="dxa" w:w="100"/>
              <w:right w:type="dxa" w:w="120"/>
            </w:tcMar>
          </w:tcPr>
          <w:p>
            <w:pPr>
              <w:bidi/>
              <w:jc w:val="center"/>
            </w:pPr>
            <w:r>
              <w:rPr>
                <w:rFonts w:ascii="David" w:cs="David" w:eastAsia="David" w:hAnsi="David"/>
                <w:b/>
                <w:bCs/>
                <w:color w:val="FFFFFF"/>
                <w:sz w:val="20"/>
                <w:szCs w:val="20"/>
                <w:rtl/>
              </w:rPr>
              <w:t xml:space="preserve">מועד יעד</w:t>
            </w:r>
          </w:p>
        </w:tc>
      </w:tr>
      <w:tr>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אישור תוכנית עבודה שנתית לבקרה</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משרד החינוך</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תוכנית עבודה וגאנט בקרות</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1 באוגוסט</w:t>
            </w:r>
          </w:p>
        </w:tc>
      </w:tr>
      <w:tr>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סבב בקרה ראשון (תקינה מורחבת ובסיסית)</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משרד החינוך</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ממצאי בקרה ראשוניים</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1 בינואר</w:t>
            </w:r>
          </w:p>
        </w:tc>
      </w:tr>
      <w:tr>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סבב בקרה שני והשלמות</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משרד החינוך</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ממצאי בקרה משלימים</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1 באפריל</w:t>
            </w:r>
          </w:p>
        </w:tc>
      </w:tr>
      <w:tr>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הודעה לבעלות (לרבות זכות טיעון) וקיום שימוע</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משרד החינוך</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החלטה סופית בעניין הבעלות, לאחר שימוע</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עד 30 יום מתום הסבב</w:t>
            </w:r>
          </w:p>
        </w:tc>
      </w:tr>
      <w:tr>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העברת דוח סופי, חתום ומאומת, הכולל את תוצאות ההליך</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משרד החינוך</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קובץ נתונים סופי ברמת מעון/סמל</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מועד ריאלי שייקבע בדיון המשותף (מוצע: 31 במאי)</w:t>
            </w:r>
          </w:p>
        </w:tc>
      </w:tr>
      <w:tr>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עדכון שנתי מקדים על היעדר שינוי (למעונות ללא ממצא)</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משרד החינוך</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הצהרה מרוכזת: "אין שינוי"</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לפני תחילת כל שנת תקציב</w:t>
            </w:r>
          </w:p>
        </w:tc>
      </w:tr>
      <w:tr>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קיזוז / התאמת תשלום בהתאם לממצאים הסופיים</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משרד העבודה (הכלכלה והתעשייה)</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ביצוע קיזוז מול סוף שנת התקציב</w:t>
            </w:r>
          </w:p>
        </w:tc>
        <w:tc>
          <w:tcPr>
            <w:tcW w:type="dxa" w:w="2600"/>
            <w:tcMar>
              <w:top w:type="dxa" w:w="100"/>
              <w:left w:type="dxa" w:w="120"/>
              <w:bottom w:type="dxa" w:w="100"/>
              <w:right w:type="dxa" w:w="120"/>
            </w:tcMar>
          </w:tcPr>
          <w:p>
            <w:pPr>
              <w:bidi/>
              <w:jc w:val="right"/>
            </w:pPr>
            <w:r>
              <w:rPr>
                <w:rFonts w:ascii="David" w:cs="David" w:eastAsia="David" w:hAnsi="David"/>
                <w:b w:val="false"/>
                <w:bCs w:val="false"/>
                <w:sz w:val="20"/>
                <w:szCs w:val="20"/>
                <w:rtl/>
              </w:rPr>
              <w:t xml:space="preserve">עד תום שנת התקציב השוטפת</w:t>
            </w:r>
          </w:p>
        </w:tc>
      </w:tr>
    </w:tbl>
    <w:p>
      <w:pPr>
        <w:pStyle w:val="Heading1"/>
        <w:bidi/>
        <w:spacing w:after="160" w:before="320"/>
        <w:jc w:val="right"/>
      </w:pPr>
      <w:r>
        <w:rPr>
          <w:rFonts w:ascii="David" w:cs="David" w:eastAsia="David" w:hAnsi="David"/>
          <w:b/>
          <w:bCs/>
          <w:rtl/>
        </w:rPr>
        <w:t xml:space="preserve">5. נושאים פתוחים להשלמה</w:t>
      </w:r>
    </w:p>
    <w:p>
      <w:pPr>
        <w:pStyle w:val="ListParagraph"/>
        <w:numPr>
          <w:ilvl w:val="0"/>
          <w:numId w:val="3"/>
        </w:numPr>
        <w:bidi/>
        <w:spacing w:after="140" w:line="300"/>
        <w:jc w:val="right"/>
      </w:pPr>
      <w:r>
        <w:rPr>
          <w:rFonts w:ascii="David" w:cs="David" w:eastAsia="David" w:hAnsi="David"/>
          <w:sz w:val="22"/>
          <w:szCs w:val="22"/>
          <w:rtl/>
        </w:rPr>
        <w:t xml:space="preserve">לבחון מול אגף מעונות (משרד העבודה) את הריאליות של לוח הזמנים המוצע מול תשומות החינוך והיכולת התפעולית בפועל.</w:t>
      </w:r>
    </w:p>
    <w:p>
      <w:pPr>
        <w:pStyle w:val="ListParagraph"/>
        <w:numPr>
          <w:ilvl w:val="0"/>
          <w:numId w:val="3"/>
        </w:numPr>
        <w:bidi/>
        <w:spacing w:after="140" w:line="300"/>
        <w:jc w:val="right"/>
      </w:pPr>
      <w:r>
        <w:rPr>
          <w:rFonts w:ascii="David" w:cs="David" w:eastAsia="David" w:hAnsi="David"/>
          <w:sz w:val="22"/>
          <w:szCs w:val="22"/>
          <w:rtl/>
        </w:rPr>
        <w:t xml:space="preserve">לקבוע מנגנון סנכרון מוסכם למצב בו דוחות סופיים מוגשים לפני/אחרי מועד השימוע, ואת המועד האחרון האפשרי לביצוע קיזוז מול סוף שנת התקציב.</w:t>
      </w:r>
    </w:p>
    <w:p>
      <w:pPr>
        <w:pStyle w:val="ListParagraph"/>
        <w:numPr>
          <w:ilvl w:val="0"/>
          <w:numId w:val="3"/>
        </w:numPr>
        <w:bidi/>
        <w:spacing w:after="140" w:line="300"/>
        <w:jc w:val="right"/>
      </w:pPr>
      <w:r>
        <w:rPr>
          <w:rFonts w:ascii="David" w:cs="David" w:eastAsia="David" w:hAnsi="David"/>
          <w:sz w:val="22"/>
          <w:szCs w:val="22"/>
          <w:rtl/>
        </w:rPr>
        <w:t xml:space="preserve">להשלים מול רונן (משרד העבודה) האם יש נושאים נוספים שיש לכלול בנוהל, בטרם יובא לאישור שני המשרדים.</w:t>
      </w:r>
    </w:p>
    <w:p>
      <w:pPr>
        <w:pStyle w:val="ListParagraph"/>
        <w:numPr>
          <w:ilvl w:val="0"/>
          <w:numId w:val="3"/>
        </w:numPr>
        <w:bidi/>
        <w:spacing w:after="140" w:line="300"/>
        <w:jc w:val="right"/>
      </w:pPr>
      <w:r>
        <w:rPr>
          <w:rFonts w:ascii="David" w:cs="David" w:eastAsia="David" w:hAnsi="David"/>
          <w:sz w:val="22"/>
          <w:szCs w:val="22"/>
          <w:rtl/>
        </w:rPr>
        <w:t xml:space="preserve">לקבוע מנגנון יישוב חילוקי דעות בין המשרדים במקרה של אי-הסכמה על ממצא או על עיתוי, לרבות אפשרות לבירור משותף בין הגורמים המקצועיים טרם הכרעה.</w:t>
      </w:r>
    </w:p>
    <w:p>
      <w:pPr>
        <w:pStyle w:val="Heading1"/>
        <w:bidi/>
        <w:spacing w:after="160" w:before="320"/>
        <w:jc w:val="right"/>
      </w:pPr>
      <w:r>
        <w:rPr>
          <w:rFonts w:ascii="David" w:cs="David" w:eastAsia="David" w:hAnsi="David"/>
          <w:b/>
          <w:bCs/>
          <w:rtl/>
        </w:rPr>
        <w:t xml:space="preserve">6. המשך תהליך</w:t>
      </w:r>
    </w:p>
    <w:p>
      <w:pPr>
        <w:bidi/>
        <w:spacing w:after="160" w:line="300"/>
        <w:jc w:val="right"/>
      </w:pPr>
      <w:r>
        <w:rPr>
          <w:rFonts w:ascii="David" w:cs="David" w:eastAsia="David" w:hAnsi="David"/>
          <w:b w:val="false"/>
          <w:bCs w:val="false"/>
          <w:i w:val="false"/>
          <w:iCs w:val="false"/>
          <w:sz w:val="22"/>
          <w:szCs w:val="22"/>
          <w:rtl/>
        </w:rPr>
        <w:t xml:space="preserve">מוצע לקיים דיון משותף ומסודר בין נציגי משרד החינוך, משרד העבודה (אגף מעונות) ואגף התקציבים במשרד האוצר, לגיבוש נוסח סופי של הנוהל, כך שהוא יובא לאישור שני המשרדים בטרם כניסתו לתוקף.</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2026-09-13T10:33:36.292Z</dcterms:created>
  <dcterms:modified xsi:type="dcterms:W3CDTF">2026-09-13T10:33:36.292Z</dcterms:modified>
</cp:coreProperties>
</file>

<file path=docProps/custom.xml><?xml version="1.0" encoding="utf-8"?>
<Properties xmlns="http://schemas.openxmlformats.org/officeDocument/2006/custom-properties" xmlns:vt="http://schemas.openxmlformats.org/officeDocument/2006/docPropsVTypes"/>
</file>