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60"/>
        <w:jc w:val="right"/>
      </w:pPr>
      <w:r>
        <w:rPr>
          <w:rFonts w:ascii="Arial" w:cs="Arial" w:hAnsi="Arial"/>
          <w:b/>
          <w:bCs/>
          <w:sz w:val="22"/>
          <w:szCs w:val="22"/>
          <w:rtl/>
        </w:rPr>
        <w:t xml:space="preserve">סעיף 37 – תקנות עם יתרה לכאורה והסבר מדוע לא ניתן למצות מהן</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300"/>
        <w:gridCol w:w="4726"/>
      </w:tblGrid>
      <w:tr>
        <w:trPr>
          <w:tblHeader/>
        </w:trPr>
        <w:tc>
          <w:tcPr>
            <w:tcW w:type="dxa" w:w="1300"/>
            <w:tcBorders>
              <w:top w:val="single" w:color="000000" w:sz="4"/>
              <w:left w:val="single" w:color="000000" w:sz="4"/>
              <w:bottom w:val="single" w:color="000000" w:sz="4"/>
              <w:right w:val="single" w:color="000000" w:sz="4"/>
            </w:tcBorders>
            <w:shd w:fill="D9E2F3" w:color="auto" w:val="clear"/>
            <w:tcMar>
              <w:top w:type="dxa" w:w="80"/>
              <w:left w:type="dxa" w:w="100"/>
              <w:bottom w:type="dxa" w:w="80"/>
              <w:right w:type="dxa" w:w="100"/>
            </w:tcMar>
            <w:vAlign w:val="top"/>
          </w:tcPr>
          <w:p>
            <w:pPr>
              <w:bidi/>
              <w:spacing w:after="0"/>
              <w:jc w:val="right"/>
            </w:pPr>
            <w:r>
              <w:rPr>
                <w:rFonts w:ascii="Arial" w:cs="Arial" w:hAnsi="Arial"/>
                <w:b/>
                <w:bCs/>
                <w:sz w:val="22"/>
                <w:szCs w:val="22"/>
                <w:rtl/>
              </w:rPr>
              <w:t xml:space="preserve">תקנה</w:t>
            </w:r>
          </w:p>
        </w:tc>
        <w:tc>
          <w:tcPr>
            <w:tcW w:type="dxa" w:w="1700"/>
            <w:tcBorders>
              <w:top w:val="single" w:color="000000" w:sz="4"/>
              <w:left w:val="single" w:color="000000" w:sz="4"/>
              <w:bottom w:val="single" w:color="000000" w:sz="4"/>
              <w:right w:val="single" w:color="000000" w:sz="4"/>
            </w:tcBorders>
            <w:shd w:fill="D9E2F3" w:color="auto" w:val="clear"/>
            <w:tcMar>
              <w:top w:type="dxa" w:w="80"/>
              <w:left w:type="dxa" w:w="100"/>
              <w:bottom w:type="dxa" w:w="80"/>
              <w:right w:type="dxa" w:w="100"/>
            </w:tcMar>
            <w:vAlign w:val="top"/>
          </w:tcPr>
          <w:p>
            <w:pPr>
              <w:bidi/>
              <w:spacing w:after="0"/>
              <w:jc w:val="right"/>
            </w:pPr>
            <w:r>
              <w:rPr>
                <w:rFonts w:ascii="Arial" w:cs="Arial" w:hAnsi="Arial"/>
                <w:b/>
                <w:bCs/>
                <w:sz w:val="22"/>
                <w:szCs w:val="22"/>
                <w:rtl/>
              </w:rPr>
              <w:t xml:space="preserve">שם התקנה</w:t>
            </w:r>
          </w:p>
        </w:tc>
        <w:tc>
          <w:tcPr>
            <w:tcW w:type="dxa" w:w="1300"/>
            <w:tcBorders>
              <w:top w:val="single" w:color="000000" w:sz="4"/>
              <w:left w:val="single" w:color="000000" w:sz="4"/>
              <w:bottom w:val="single" w:color="000000" w:sz="4"/>
              <w:right w:val="single" w:color="000000" w:sz="4"/>
            </w:tcBorders>
            <w:shd w:fill="D9E2F3" w:color="auto" w:val="clear"/>
            <w:tcMar>
              <w:top w:type="dxa" w:w="80"/>
              <w:left w:type="dxa" w:w="100"/>
              <w:bottom w:type="dxa" w:w="80"/>
              <w:right w:type="dxa" w:w="100"/>
            </w:tcMar>
            <w:vAlign w:val="top"/>
          </w:tcPr>
          <w:p>
            <w:pPr>
              <w:bidi/>
              <w:spacing w:after="0"/>
              <w:jc w:val="right"/>
            </w:pPr>
            <w:r>
              <w:rPr>
                <w:rFonts w:ascii="Arial" w:cs="Arial" w:hAnsi="Arial"/>
                <w:b/>
                <w:bCs/>
                <w:sz w:val="22"/>
                <w:szCs w:val="22"/>
                <w:rtl/>
              </w:rPr>
              <w:t xml:space="preserve">יתרה לכאורה</w:t>
            </w:r>
          </w:p>
        </w:tc>
        <w:tc>
          <w:tcPr>
            <w:tcW w:type="dxa" w:w="4726"/>
            <w:tcBorders>
              <w:top w:val="single" w:color="000000" w:sz="4"/>
              <w:left w:val="single" w:color="000000" w:sz="4"/>
              <w:bottom w:val="single" w:color="000000" w:sz="4"/>
              <w:right w:val="single" w:color="000000" w:sz="4"/>
            </w:tcBorders>
            <w:shd w:fill="D9E2F3" w:color="auto" w:val="clear"/>
            <w:tcMar>
              <w:top w:type="dxa" w:w="80"/>
              <w:left w:type="dxa" w:w="100"/>
              <w:bottom w:type="dxa" w:w="80"/>
              <w:right w:type="dxa" w:w="100"/>
            </w:tcMar>
            <w:vAlign w:val="top"/>
          </w:tcPr>
          <w:p>
            <w:pPr>
              <w:bidi/>
              <w:spacing w:after="0"/>
              <w:jc w:val="right"/>
            </w:pPr>
            <w:r>
              <w:rPr>
                <w:rFonts w:ascii="Arial" w:cs="Arial" w:hAnsi="Arial"/>
                <w:b/>
                <w:bCs/>
                <w:sz w:val="22"/>
                <w:szCs w:val="22"/>
                <w:rtl/>
              </w:rPr>
              <w:t xml:space="preserve">למה אי אפשר להשתמש ביתרה</w:t>
            </w:r>
          </w:p>
        </w:tc>
      </w:tr>
      <w:tr>
        <w:trPr>
          <w:tblHeader w:val="false"/>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bidi/>
              <w:spacing w:after="0"/>
              <w:jc w:val="right"/>
            </w:pPr>
            <w:r>
              <w:rPr>
                <w:rFonts w:ascii="Arial" w:cs="Arial" w:hAnsi="Arial"/>
                <w:b w:val="false"/>
                <w:sz w:val="22"/>
                <w:szCs w:val="22"/>
                <w:rtl/>
              </w:rPr>
              <w:t xml:space="preserve">37010205</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bidi/>
              <w:spacing w:after="0"/>
              <w:jc w:val="right"/>
            </w:pPr>
            <w:r>
              <w:rPr>
                <w:rFonts w:ascii="Arial" w:cs="Arial" w:hAnsi="Arial"/>
                <w:b w:val="false"/>
                <w:sz w:val="22"/>
                <w:szCs w:val="22"/>
                <w:rtl/>
              </w:rPr>
              <w:t xml:space="preserve">נסיעות לחו"ל</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bidi/>
              <w:spacing w:after="0"/>
              <w:jc w:val="right"/>
            </w:pPr>
            <w:r>
              <w:rPr>
                <w:rFonts w:ascii="Arial" w:cs="Arial" w:hAnsi="Arial"/>
                <w:b w:val="false"/>
                <w:sz w:val="22"/>
                <w:szCs w:val="22"/>
                <w:rtl/>
              </w:rPr>
              <w:t xml:space="preserve"/>
            </w:r>
          </w:p>
        </w:tc>
        <w:tc>
          <w:tcPr>
            <w:tcW w:type="dxa" w:w="47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bidi/>
              <w:spacing w:after="0"/>
              <w:jc w:val="right"/>
            </w:pPr>
            <w:r>
              <w:rPr>
                <w:rFonts w:ascii="Arial" w:cs="Arial" w:hAnsi="Arial"/>
                <w:b w:val="false"/>
                <w:sz w:val="22"/>
                <w:szCs w:val="22"/>
                <w:rtl/>
              </w:rPr>
              <w:t xml:space="preserve">רוב החיובים בתקנה נרשמים דרך חשבונאי פיננסי. עד היום נרשמו חיובים של 6 חודשים בלבד מתוך 12, ולכן הביצוע הרשום נמוך מהביצוע בפועל. בגלל "שאגת הארי" לא היו טיסות במשך חודשיים, ולכן אי אפשר להניח קצב אחיד לאורך השנה. עונת הירידים בחו"ל נפתחת בספטמבר, ולכן ברבעון האחרון ההוצאות על חו"ל תמיד עולות.</w:t>
            </w:r>
          </w:p>
        </w:tc>
      </w:tr>
      <w:tr>
        <w:trPr>
          <w:tblHeader w:val="false"/>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bidi/>
              <w:spacing w:after="0"/>
              <w:jc w:val="right"/>
            </w:pPr>
            <w:r>
              <w:rPr>
                <w:rFonts w:ascii="Arial" w:cs="Arial" w:hAnsi="Arial"/>
                <w:b w:val="false"/>
                <w:sz w:val="22"/>
                <w:szCs w:val="22"/>
                <w:rtl/>
              </w:rPr>
              <w:t xml:space="preserve">37010241</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bidi/>
              <w:spacing w:after="0"/>
              <w:jc w:val="right"/>
            </w:pPr>
            <w:r>
              <w:rPr>
                <w:rFonts w:ascii="Arial" w:cs="Arial" w:hAnsi="Arial"/>
                <w:b w:val="false"/>
                <w:sz w:val="22"/>
                <w:szCs w:val="22"/>
                <w:rtl/>
              </w:rPr>
              <w:t xml:space="preserve">אסטרטגיה, מדיניות וייעוץ</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bidi/>
              <w:spacing w:after="0"/>
              <w:jc w:val="right"/>
            </w:pPr>
            <w:r>
              <w:rPr>
                <w:rFonts w:ascii="Arial" w:cs="Arial" w:hAnsi="Arial"/>
                <w:b w:val="false"/>
                <w:sz w:val="22"/>
                <w:szCs w:val="22"/>
                <w:rtl/>
              </w:rPr>
              <w:t xml:space="preserve"/>
            </w:r>
          </w:p>
        </w:tc>
        <w:tc>
          <w:tcPr>
            <w:tcW w:type="dxa" w:w="47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bidi/>
              <w:spacing w:after="0"/>
              <w:jc w:val="right"/>
            </w:pPr>
            <w:r>
              <w:rPr>
                <w:rFonts w:ascii="Arial" w:cs="Arial" w:hAnsi="Arial"/>
                <w:b w:val="false"/>
                <w:sz w:val="22"/>
                <w:szCs w:val="22"/>
                <w:rtl/>
              </w:rPr>
              <w:t xml:space="preserve">צפויה כאן יתרה, אבל היא כבר מיועדת לכסות חוסרים בתקנות אחרות בתוכנית או בתוכנית השיווק.</w:t>
            </w:r>
          </w:p>
        </w:tc>
      </w:tr>
      <w:tr>
        <w:trPr>
          <w:tblHeader w:val="false"/>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bidi/>
              <w:spacing w:after="0"/>
              <w:jc w:val="right"/>
            </w:pPr>
            <w:r>
              <w:rPr>
                <w:rFonts w:ascii="Arial" w:cs="Arial" w:hAnsi="Arial"/>
                <w:b w:val="false"/>
                <w:sz w:val="22"/>
                <w:szCs w:val="22"/>
                <w:rtl/>
              </w:rPr>
              <w:t xml:space="preserve">37010244</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bidi/>
              <w:spacing w:after="0"/>
              <w:jc w:val="right"/>
            </w:pPr>
            <w:r>
              <w:rPr>
                <w:rFonts w:ascii="Arial" w:cs="Arial" w:hAnsi="Arial"/>
                <w:b w:val="false"/>
                <w:sz w:val="22"/>
                <w:szCs w:val="22"/>
                <w:rtl/>
              </w:rPr>
              <w:t xml:space="preserve">פעולות תומכות תיירות</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bidi/>
              <w:spacing w:after="0"/>
              <w:jc w:val="right"/>
            </w:pPr>
            <w:r>
              <w:rPr>
                <w:rFonts w:ascii="Arial" w:cs="Arial" w:hAnsi="Arial"/>
                <w:b w:val="false"/>
                <w:sz w:val="22"/>
                <w:szCs w:val="22"/>
                <w:rtl/>
              </w:rPr>
              <w:t xml:space="preserve">כ-6 מלש"ח</w:t>
            </w:r>
          </w:p>
        </w:tc>
        <w:tc>
          <w:tcPr>
            <w:tcW w:type="dxa" w:w="47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bidi/>
              <w:spacing w:after="0"/>
              <w:jc w:val="right"/>
            </w:pPr>
            <w:r>
              <w:rPr>
                <w:rFonts w:ascii="Arial" w:cs="Arial" w:hAnsi="Arial"/>
                <w:b w:val="false"/>
                <w:sz w:val="22"/>
                <w:szCs w:val="22"/>
                <w:rtl/>
              </w:rPr>
              <w:t xml:space="preserve">היתרה לא מספיקה. ההיקף הנדרש מהיום ועד סוף השנה הוא כ-7 מלש"ח, כך שבפועל יש בתקנה חוסר של כ-1 מלש"ח.</w:t>
            </w:r>
          </w:p>
        </w:tc>
      </w:tr>
      <w:tr>
        <w:trPr>
          <w:tblHeader w:val="false"/>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bidi/>
              <w:spacing w:after="0"/>
              <w:jc w:val="right"/>
            </w:pPr>
            <w:r>
              <w:rPr>
                <w:rFonts w:ascii="Arial" w:cs="Arial" w:hAnsi="Arial"/>
                <w:b w:val="false"/>
                <w:sz w:val="22"/>
                <w:szCs w:val="22"/>
                <w:rtl/>
              </w:rPr>
              <w:t xml:space="preserve">37010201</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bidi/>
              <w:spacing w:after="0"/>
              <w:jc w:val="right"/>
            </w:pPr>
            <w:r>
              <w:rPr>
                <w:rFonts w:ascii="Arial" w:cs="Arial" w:hAnsi="Arial"/>
                <w:b w:val="false"/>
                <w:sz w:val="22"/>
                <w:szCs w:val="22"/>
                <w:rtl/>
              </w:rPr>
              <w:t xml:space="preserve">פעולות כלליות מנהלה</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bidi/>
              <w:spacing w:after="0"/>
              <w:jc w:val="right"/>
            </w:pPr>
            <w:r>
              <w:rPr>
                <w:rFonts w:ascii="Arial" w:cs="Arial" w:hAnsi="Arial"/>
                <w:b w:val="false"/>
                <w:sz w:val="22"/>
                <w:szCs w:val="22"/>
                <w:rtl/>
              </w:rPr>
              <w:t xml:space="preserve"/>
            </w:r>
          </w:p>
        </w:tc>
        <w:tc>
          <w:tcPr>
            <w:tcW w:type="dxa" w:w="47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bidi/>
              <w:spacing w:after="0"/>
              <w:jc w:val="right"/>
            </w:pPr>
            <w:r>
              <w:rPr>
                <w:rFonts w:ascii="Arial" w:cs="Arial" w:hAnsi="Arial"/>
                <w:b w:val="false"/>
                <w:sz w:val="22"/>
                <w:szCs w:val="22"/>
                <w:rtl/>
              </w:rPr>
              <w:t xml:space="preserve">בתקנה יש התחייבויות גדולות שעוד לא נרשמו בהנה"ח. הן קשורות להסכמים בעיקר בתחומי המחשוב, התחזוקה והתפעול. עדיין לא ברור אם יישאר עודף קטן או ייווצר חוסר קטן, ועדיין יש שאלות פתוחות בתחום המחשוב. כל עודף יועבר לשיווק.</w:t>
            </w:r>
          </w:p>
        </w:tc>
      </w:tr>
      <w:tr>
        <w:trPr>
          <w:tblHeader w:val="false"/>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bidi/>
              <w:spacing w:after="0"/>
              <w:jc w:val="right"/>
            </w:pPr>
            <w:r>
              <w:rPr>
                <w:rFonts w:ascii="Arial" w:cs="Arial" w:hAnsi="Arial"/>
                <w:b w:val="false"/>
                <w:sz w:val="22"/>
                <w:szCs w:val="22"/>
                <w:rtl/>
              </w:rPr>
              <w:t xml:space="preserve">370102 (תוכנית)</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bidi/>
              <w:spacing w:after="0"/>
              <w:jc w:val="right"/>
            </w:pPr>
            <w:r>
              <w:rPr>
                <w:rFonts w:ascii="Arial" w:cs="Arial" w:hAnsi="Arial"/>
                <w:b w:val="false"/>
                <w:sz w:val="22"/>
                <w:szCs w:val="22"/>
                <w:rtl/>
              </w:rPr>
              <w:t xml:space="preserve"/>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bidi/>
              <w:spacing w:after="0"/>
              <w:jc w:val="right"/>
            </w:pPr>
            <w:r>
              <w:rPr>
                <w:rFonts w:ascii="Arial" w:cs="Arial" w:hAnsi="Arial"/>
                <w:b w:val="false"/>
                <w:sz w:val="22"/>
                <w:szCs w:val="22"/>
                <w:rtl/>
              </w:rPr>
              <w:t xml:space="preserve"/>
            </w:r>
          </w:p>
        </w:tc>
        <w:tc>
          <w:tcPr>
            <w:tcW w:type="dxa" w:w="472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pPr>
              <w:bidi/>
              <w:spacing w:after="0"/>
              <w:jc w:val="right"/>
            </w:pPr>
            <w:r>
              <w:rPr>
                <w:rFonts w:ascii="Arial" w:cs="Arial" w:hAnsi="Arial"/>
                <w:b w:val="false"/>
                <w:sz w:val="22"/>
                <w:szCs w:val="22"/>
                <w:rtl/>
              </w:rPr>
              <w:t xml:space="preserve">בפניית סוף השנה מתוכננת העברה של סכום מתוכנית 370102 לתוכנית השיווק (370316), כי כרגע אין מענה מספק לצורכי השיווק.</w:t>
            </w:r>
          </w:p>
        </w:tc>
      </w:tr>
    </w:tbl>
    <w:p>
      <w:pPr>
        <w:bidi/>
      </w:pPr>
    </w:p>
    <w:p>
      <w:pPr>
        <w:bidi/>
        <w:spacing w:after="0"/>
        <w:jc w:val="right"/>
      </w:pPr>
      <w:r>
        <w:rPr>
          <w:rFonts w:ascii="Arial" w:cs="Arial" w:hAnsi="Arial"/>
          <w:b w:val="false"/>
          <w:sz w:val="22"/>
          <w:szCs w:val="22"/>
          <w:rtl/>
        </w:rPr>
        <w:t xml:space="preserve">התת-ביצוע שרואים היום בסעיף לא מעיד על יתרות פנויות. בכל שנה הרבעון האחרון גבוה מחלקו היחסי בשנה, גם בתשלומים וגם בהתחייבויות. הפער נסגר דרך התחייבויות שנפתחות דווקא ברבעון האחרון, ודרך העברות פנימיות בין תקנות ותוכניות. היתרות שעוד נשארות כבר משויכות לחוסרים בתוך הסעיף, ובעיקר לשיווק. לכן אין בסעיף מקור פנוי ל-23,000 אש"ח (סיכום תקציבי) ול-1,670 אש"ח (החלטת ממשלה אילת).</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2026-10-14T08:48:41.587Z</dcterms:created>
  <dcterms:modified xsi:type="dcterms:W3CDTF">2026-10-14T08:48:41.595Z</dcterms:modified>
</cp:coreProperties>
</file>

<file path=docProps/custom.xml><?xml version="1.0" encoding="utf-8"?>
<Properties xmlns="http://schemas.openxmlformats.org/officeDocument/2006/custom-properties" xmlns:vt="http://schemas.openxmlformats.org/officeDocument/2006/docPropsVTypes"/>
</file>