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Heading"/>
        <w:jc w:val="left"/>
      </w:pPr>
      <w:r>
        <w:t>GAL SARID, Ph.D.</w:t>
      </w:r>
    </w:p>
    <w:p>
      <w:pPr>
        <w:pStyle w:val="CVSubheading"/>
        <w:pBdr>
          <w:bottom w:val="single" w:sz="6" w:space="1" w:color="23474D"/>
        </w:pBdr>
      </w:pPr>
      <w:r>
        <w:t>Earth &amp; Planetary Scientist  |  Remote Sensing  |  Scientific Computing</w:t>
      </w:r>
      <w:r>
        <w:br/>
        <w:t>Rockville, Maryland  |  linkedin.com/in/gal-sarid  |  orcid.org/0000-0001-5678-5044  |  galsarid.github.io</w:t>
      </w:r>
    </w:p>
    <w:p>
      <w:pPr>
        <w:pStyle w:val="SectionHeading"/>
        <w:pBdr>
          <w:bottom w:val="single" w:sz="6" w:space="1" w:color="D8CDBD"/>
        </w:pBdr>
      </w:pPr>
      <w:r>
        <w:t>PROFILE</w:t>
      </w:r>
    </w:p>
    <w:p>
      <w:pPr>
        <w:spacing w:after="80"/>
      </w:pPr>
      <w:r>
        <w:t>Earth and planetary scientist with experience spanning satellite instrument calibration, small-body physics, numerical modeling, and mission science. Current work at Science Systems and Applications, Inc. (SSAI) supports MODIS and VIIRS calibration activities at NASA Goddard. Earlier research focused on comets, Centaurs, asteroids, and icy planetesimals, including their thermal evolution, dynamics, activity, and ejecta environments.</w:t>
      </w:r>
    </w:p>
    <w:p>
      <w:pPr>
        <w:pStyle w:val="SectionHeading"/>
        <w:pBdr>
          <w:bottom w:val="single" w:sz="6" w:space="1" w:color="D8CDBD"/>
        </w:pBdr>
      </w:pPr>
      <w:r>
        <w:t>CURRENT POSITION</w:t>
      </w:r>
    </w:p>
    <w:tbl>
      <w:tblPr>
        <w:tblW w:type="auto" w:w="0"/>
        <w:jc w:val="center"/>
        <w:tblLayout w:type="fixed"/>
        <w:tblLook w:firstColumn="1" w:firstRow="1" w:lastColumn="0" w:lastRow="0" w:noHBand="0" w:noVBand="1" w:val="04A0"/>
      </w:tblPr>
      <w:tblGrid>
        <w:gridCol w:w="8496"/>
        <w:gridCol w:w="1944"/>
      </w:tblGrid>
      <w:tr>
        <w:tc>
          <w:tcPr>
            <w:tcW w:type="dxa" w:w="5184"/>
            <w:vAlign w:val="top"/>
            <w:tcMar>
              <w:top w:w="0" w:type="dxa"/>
              <w:left w:w="0" w:type="dxa"/>
              <w:bottom w:w="0" w:type="dxa"/>
              <w:right w:w="0" w:type="dxa"/>
            </w:tcMar>
          </w:tcPr>
          <w:p>
            <w:pPr>
              <w:pStyle w:val="RoleHeading"/>
            </w:pPr>
            <w:r>
              <w:rPr>
                <w:b/>
              </w:rPr>
              <w:t>Senior Research Scientist</w:t>
            </w:r>
            <w:r>
              <w:rPr>
                <w:b w:val="0"/>
              </w:rPr>
              <w:t xml:space="preserve"> | Science Systems and Applications, Inc. (SSAI)</w:t>
            </w:r>
          </w:p>
        </w:tc>
        <w:tc>
          <w:tcPr>
            <w:tcW w:type="dxa" w:w="5184"/>
            <w:vAlign w:val="top"/>
            <w:tcMar>
              <w:top w:w="0" w:type="dxa"/>
              <w:left w:w="0" w:type="dxa"/>
              <w:bottom w:w="0" w:type="dxa"/>
              <w:right w:w="0" w:type="dxa"/>
            </w:tcMar>
          </w:tcPr>
          <w:p>
            <w:pPr>
              <w:pStyle w:val="RoleHeading"/>
              <w:jc w:val="right"/>
            </w:pPr>
            <w:r>
              <w:t>2019–Present</w:t>
            </w:r>
          </w:p>
        </w:tc>
      </w:tr>
    </w:tbl>
    <w:p>
      <w:pPr>
        <w:spacing w:after="30"/>
        <w:ind w:left="259" w:hanging="173"/>
      </w:pPr>
      <w:r>
        <w:rPr>
          <w:b/>
        </w:rPr>
        <w:t xml:space="preserve">• </w:t>
      </w:r>
      <w:r>
        <w:t>Support Terra and Aqua MODIS reflective solar band calibration as a member of the MODIS Characterization Support Team.</w:t>
      </w:r>
    </w:p>
    <w:p>
      <w:pPr>
        <w:spacing w:after="30"/>
        <w:ind w:left="259" w:hanging="173"/>
      </w:pPr>
      <w:r>
        <w:rPr>
          <w:b/>
        </w:rPr>
        <w:t xml:space="preserve">• </w:t>
      </w:r>
      <w:r>
        <w:t>Support NOAA-20 and Suomi NPP VIIRS day-night-band calibration as a member of the VIIRS Characterization Support Team.</w:t>
      </w:r>
    </w:p>
    <w:p>
      <w:pPr>
        <w:spacing w:after="30"/>
        <w:ind w:left="259" w:hanging="173"/>
      </w:pPr>
      <w:r>
        <w:rPr>
          <w:b/>
        </w:rPr>
        <w:t xml:space="preserve">• </w:t>
      </w:r>
      <w:r>
        <w:t>Develop and use scientific-analysis workflows for calibration trending, measurement characterization, validation, and interpretation.</w:t>
      </w:r>
    </w:p>
    <w:p>
      <w:pPr>
        <w:spacing w:after="30"/>
        <w:ind w:left="259" w:hanging="173"/>
      </w:pPr>
      <w:r>
        <w:rPr>
          <w:b/>
        </w:rPr>
        <w:t xml:space="preserve">• </w:t>
      </w:r>
      <w:r>
        <w:t>Recent published work includes MODIS post-orbital-drift calibration strategies and VIIRS day-night-band calibration/performance studies.</w:t>
      </w:r>
    </w:p>
    <w:p>
      <w:pPr>
        <w:pStyle w:val="SectionHeading"/>
        <w:pBdr>
          <w:bottom w:val="single" w:sz="6" w:space="1" w:color="D8CDBD"/>
        </w:pBdr>
      </w:pPr>
      <w:r>
        <w:t>PRIOR RESEARCH APPOINTMENTS</w:t>
      </w:r>
    </w:p>
    <w:tbl>
      <w:tblPr>
        <w:tblW w:type="auto" w:w="0"/>
        <w:jc w:val="center"/>
        <w:tblLayout w:type="fixed"/>
        <w:tblLook w:firstColumn="1" w:firstRow="1" w:lastColumn="0" w:lastRow="0" w:noHBand="0" w:noVBand="1" w:val="04A0"/>
      </w:tblPr>
      <w:tblGrid>
        <w:gridCol w:w="8496"/>
        <w:gridCol w:w="1944"/>
      </w:tblGrid>
      <w:tr>
        <w:tc>
          <w:tcPr>
            <w:tcW w:type="dxa" w:w="5184"/>
            <w:vAlign w:val="top"/>
            <w:tcMar>
              <w:top w:w="0" w:type="dxa"/>
              <w:left w:w="0" w:type="dxa"/>
              <w:bottom w:w="0" w:type="dxa"/>
              <w:right w:w="0" w:type="dxa"/>
            </w:tcMar>
          </w:tcPr>
          <w:p>
            <w:pPr>
              <w:pStyle w:val="RoleHeading"/>
            </w:pPr>
            <w:r>
              <w:rPr>
                <w:b/>
              </w:rPr>
              <w:t>Scientist / Research Faculty</w:t>
            </w:r>
            <w:r>
              <w:rPr>
                <w:b w:val="0"/>
              </w:rPr>
              <w:t xml:space="preserve"> | Florida Space Institute, University of Central Florida</w:t>
            </w:r>
          </w:p>
        </w:tc>
        <w:tc>
          <w:tcPr>
            <w:tcW w:type="dxa" w:w="5184"/>
            <w:vAlign w:val="top"/>
            <w:tcMar>
              <w:top w:w="0" w:type="dxa"/>
              <w:left w:w="0" w:type="dxa"/>
              <w:bottom w:w="0" w:type="dxa"/>
              <w:right w:w="0" w:type="dxa"/>
            </w:tcMar>
          </w:tcPr>
          <w:p>
            <w:pPr>
              <w:pStyle w:val="RoleHeading"/>
              <w:jc w:val="right"/>
            </w:pPr>
            <w:r>
              <w:t>2014–2019</w:t>
            </w:r>
          </w:p>
        </w:tc>
      </w:tr>
    </w:tbl>
    <w:p>
      <w:pPr>
        <w:spacing w:after="30"/>
        <w:ind w:left="259" w:hanging="173"/>
      </w:pPr>
      <w:r>
        <w:rPr>
          <w:b/>
        </w:rPr>
        <w:t xml:space="preserve">• </w:t>
      </w:r>
      <w:r>
        <w:t>Research on comets, asteroids, small-body dynamics, thermal evolution, ejecta, and space-mission science.</w:t>
      </w:r>
    </w:p>
    <w:tbl>
      <w:tblPr>
        <w:tblW w:type="auto" w:w="0"/>
        <w:jc w:val="center"/>
        <w:tblLayout w:type="fixed"/>
        <w:tblLook w:firstColumn="1" w:firstRow="1" w:lastColumn="0" w:lastRow="0" w:noHBand="0" w:noVBand="1" w:val="04A0"/>
      </w:tblPr>
      <w:tblGrid>
        <w:gridCol w:w="8496"/>
        <w:gridCol w:w="1944"/>
      </w:tblGrid>
      <w:tr>
        <w:tc>
          <w:tcPr>
            <w:tcW w:type="dxa" w:w="5184"/>
            <w:vAlign w:val="top"/>
            <w:tcMar>
              <w:top w:w="0" w:type="dxa"/>
              <w:left w:w="0" w:type="dxa"/>
              <w:bottom w:w="0" w:type="dxa"/>
              <w:right w:w="0" w:type="dxa"/>
            </w:tcMar>
          </w:tcPr>
          <w:p>
            <w:pPr>
              <w:pStyle w:val="RoleHeading"/>
            </w:pPr>
            <w:r>
              <w:rPr>
                <w:b/>
              </w:rPr>
              <w:t>Postdoctoral Research Associate</w:t>
            </w:r>
            <w:r>
              <w:rPr>
                <w:b w:val="0"/>
              </w:rPr>
              <w:t xml:space="preserve"> | Earth &amp; Planetary Sciences, Harvard University</w:t>
            </w:r>
          </w:p>
        </w:tc>
        <w:tc>
          <w:tcPr>
            <w:tcW w:type="dxa" w:w="5184"/>
            <w:vAlign w:val="top"/>
            <w:tcMar>
              <w:top w:w="0" w:type="dxa"/>
              <w:left w:w="0" w:type="dxa"/>
              <w:bottom w:w="0" w:type="dxa"/>
              <w:right w:w="0" w:type="dxa"/>
            </w:tcMar>
          </w:tcPr>
          <w:p>
            <w:pPr>
              <w:pStyle w:val="RoleHeading"/>
              <w:jc w:val="right"/>
            </w:pPr>
            <w:r>
              <w:t>2012–2014</w:t>
            </w:r>
          </w:p>
        </w:tc>
      </w:tr>
    </w:tbl>
    <w:p>
      <w:pPr>
        <w:spacing w:after="30"/>
        <w:ind w:left="259" w:hanging="173"/>
      </w:pPr>
      <w:r>
        <w:rPr>
          <w:b/>
        </w:rPr>
        <w:t xml:space="preserve">• </w:t>
      </w:r>
      <w:r>
        <w:t>Computational studies of shock physics, physical-chemical processing, and early planet-formation environments.</w:t>
      </w:r>
    </w:p>
    <w:tbl>
      <w:tblPr>
        <w:tblW w:type="auto" w:w="0"/>
        <w:jc w:val="center"/>
        <w:tblLayout w:type="fixed"/>
        <w:tblLook w:firstColumn="1" w:firstRow="1" w:lastColumn="0" w:lastRow="0" w:noHBand="0" w:noVBand="1" w:val="04A0"/>
      </w:tblPr>
      <w:tblGrid>
        <w:gridCol w:w="8496"/>
        <w:gridCol w:w="1944"/>
      </w:tblGrid>
      <w:tr>
        <w:tc>
          <w:tcPr>
            <w:tcW w:type="dxa" w:w="5184"/>
            <w:vAlign w:val="top"/>
            <w:tcMar>
              <w:top w:w="0" w:type="dxa"/>
              <w:left w:w="0" w:type="dxa"/>
              <w:bottom w:w="0" w:type="dxa"/>
              <w:right w:w="0" w:type="dxa"/>
            </w:tcMar>
          </w:tcPr>
          <w:p>
            <w:pPr>
              <w:pStyle w:val="RoleHeading"/>
            </w:pPr>
            <w:r>
              <w:rPr>
                <w:b/>
              </w:rPr>
              <w:t>Postdoctoral Researcher / Research Fellow</w:t>
            </w:r>
            <w:r>
              <w:rPr>
                <w:b w:val="0"/>
              </w:rPr>
              <w:t xml:space="preserve"> | Institute for Astronomy &amp; NASA Astrobiology Institute, University of Hawai‘i</w:t>
            </w:r>
          </w:p>
        </w:tc>
        <w:tc>
          <w:tcPr>
            <w:tcW w:type="dxa" w:w="5184"/>
            <w:vAlign w:val="top"/>
            <w:tcMar>
              <w:top w:w="0" w:type="dxa"/>
              <w:left w:w="0" w:type="dxa"/>
              <w:bottom w:w="0" w:type="dxa"/>
              <w:right w:w="0" w:type="dxa"/>
            </w:tcMar>
          </w:tcPr>
          <w:p>
            <w:pPr>
              <w:pStyle w:val="RoleHeading"/>
              <w:jc w:val="right"/>
            </w:pPr>
            <w:r>
              <w:t>2009–2012</w:t>
            </w:r>
          </w:p>
        </w:tc>
      </w:tr>
    </w:tbl>
    <w:p>
      <w:pPr>
        <w:spacing w:after="30"/>
        <w:ind w:left="259" w:hanging="173"/>
      </w:pPr>
      <w:r>
        <w:rPr>
          <w:b/>
        </w:rPr>
        <w:t xml:space="preserve">• </w:t>
      </w:r>
      <w:r>
        <w:t>Observational analysis and numerical modeling of small bodies, including heat and mass transfer and Centaur/comet evolution.</w:t>
      </w:r>
    </w:p>
    <w:tbl>
      <w:tblPr>
        <w:tblW w:type="auto" w:w="0"/>
        <w:jc w:val="center"/>
        <w:tblLayout w:type="fixed"/>
        <w:tblLook w:firstColumn="1" w:firstRow="1" w:lastColumn="0" w:lastRow="0" w:noHBand="0" w:noVBand="1" w:val="04A0"/>
      </w:tblPr>
      <w:tblGrid>
        <w:gridCol w:w="8496"/>
        <w:gridCol w:w="1944"/>
      </w:tblGrid>
      <w:tr>
        <w:tc>
          <w:tcPr>
            <w:tcW w:type="dxa" w:w="5184"/>
            <w:vAlign w:val="top"/>
            <w:tcMar>
              <w:top w:w="0" w:type="dxa"/>
              <w:left w:w="0" w:type="dxa"/>
              <w:bottom w:w="0" w:type="dxa"/>
              <w:right w:w="0" w:type="dxa"/>
            </w:tcMar>
          </w:tcPr>
          <w:p>
            <w:pPr>
              <w:pStyle w:val="RoleHeading"/>
            </w:pPr>
            <w:r>
              <w:rPr>
                <w:b/>
              </w:rPr>
              <w:t>Teaching and Research Assistant</w:t>
            </w:r>
            <w:r>
              <w:rPr>
                <w:b w:val="0"/>
              </w:rPr>
              <w:t xml:space="preserve"> | Tel Aviv University</w:t>
            </w:r>
          </w:p>
        </w:tc>
        <w:tc>
          <w:tcPr>
            <w:tcW w:type="dxa" w:w="5184"/>
            <w:vAlign w:val="top"/>
            <w:tcMar>
              <w:top w:w="0" w:type="dxa"/>
              <w:left w:w="0" w:type="dxa"/>
              <w:bottom w:w="0" w:type="dxa"/>
              <w:right w:w="0" w:type="dxa"/>
            </w:tcMar>
          </w:tcPr>
          <w:p>
            <w:pPr>
              <w:pStyle w:val="RoleHeading"/>
              <w:jc w:val="right"/>
            </w:pPr>
            <w:r>
              <w:t>2003–2009</w:t>
            </w:r>
          </w:p>
        </w:tc>
      </w:tr>
    </w:tbl>
    <w:p>
      <w:pPr>
        <w:spacing w:after="30"/>
        <w:ind w:left="259" w:hanging="173"/>
      </w:pPr>
      <w:r>
        <w:rPr>
          <w:b/>
        </w:rPr>
        <w:t xml:space="preserve">• </w:t>
      </w:r>
      <w:r>
        <w:t>Computational modeling of the thermal and structural evolution of comet nuclei; teaching in geophysics and planetary science.</w:t>
      </w:r>
    </w:p>
    <w:p>
      <w:pPr>
        <w:pStyle w:val="SectionHeading"/>
        <w:pBdr>
          <w:bottom w:val="single" w:sz="6" w:space="1" w:color="D8CDBD"/>
        </w:pBdr>
      </w:pPr>
      <w:r>
        <w:t>EDUCATION</w:t>
      </w:r>
    </w:p>
    <w:tbl>
      <w:tblPr>
        <w:tblW w:type="auto" w:w="0"/>
        <w:jc w:val="center"/>
        <w:tblLayout w:type="fixed"/>
        <w:tblLook w:firstColumn="1" w:firstRow="1" w:lastColumn="0" w:lastRow="0" w:noHBand="0" w:noVBand="1" w:val="04A0"/>
      </w:tblPr>
      <w:tblGrid>
        <w:gridCol w:w="8496"/>
        <w:gridCol w:w="1944"/>
      </w:tblGrid>
      <w:tr>
        <w:tc>
          <w:tcPr>
            <w:tcW w:type="dxa" w:w="5184"/>
            <w:vAlign w:val="top"/>
            <w:tcMar>
              <w:top w:w="0" w:type="dxa"/>
              <w:left w:w="0" w:type="dxa"/>
              <w:bottom w:w="0" w:type="dxa"/>
              <w:right w:w="0" w:type="dxa"/>
            </w:tcMar>
          </w:tcPr>
          <w:p>
            <w:pPr>
              <w:pStyle w:val="RoleHeading"/>
            </w:pPr>
            <w:r>
              <w:rPr>
                <w:b/>
              </w:rPr>
              <w:t>Ph.D. in Geosciences — Planetary Sciences</w:t>
            </w:r>
            <w:r>
              <w:rPr>
                <w:b w:val="0"/>
              </w:rPr>
              <w:t xml:space="preserve"> | Tel Aviv University</w:t>
            </w:r>
          </w:p>
        </w:tc>
        <w:tc>
          <w:tcPr>
            <w:tcW w:type="dxa" w:w="5184"/>
            <w:vAlign w:val="top"/>
            <w:tcMar>
              <w:top w:w="0" w:type="dxa"/>
              <w:left w:w="0" w:type="dxa"/>
              <w:bottom w:w="0" w:type="dxa"/>
              <w:right w:w="0" w:type="dxa"/>
            </w:tcMar>
          </w:tcPr>
          <w:p>
            <w:pPr>
              <w:pStyle w:val="RoleHeading"/>
              <w:jc w:val="right"/>
            </w:pPr>
            <w:r>
              <w:t>2010</w:t>
            </w:r>
          </w:p>
        </w:tc>
      </w:tr>
    </w:tbl>
    <w:p>
      <w:pPr>
        <w:spacing w:after="30"/>
        <w:ind w:left="259" w:hanging="173"/>
      </w:pPr>
      <w:r>
        <w:rPr>
          <w:b/>
        </w:rPr>
        <w:t xml:space="preserve">• </w:t>
      </w:r>
      <w:r>
        <w:t>Thesis: Thermal &amp; Structural Evolution of Small Bodies in the Solar System.</w:t>
      </w:r>
    </w:p>
    <w:tbl>
      <w:tblPr>
        <w:tblW w:type="auto" w:w="0"/>
        <w:jc w:val="center"/>
        <w:tblLayout w:type="fixed"/>
        <w:tblLook w:firstColumn="1" w:firstRow="1" w:lastColumn="0" w:lastRow="0" w:noHBand="0" w:noVBand="1" w:val="04A0"/>
      </w:tblPr>
      <w:tblGrid>
        <w:gridCol w:w="8496"/>
        <w:gridCol w:w="1944"/>
      </w:tblGrid>
      <w:tr>
        <w:tc>
          <w:tcPr>
            <w:tcW w:type="dxa" w:w="5184"/>
            <w:vAlign w:val="top"/>
            <w:tcMar>
              <w:top w:w="0" w:type="dxa"/>
              <w:left w:w="0" w:type="dxa"/>
              <w:bottom w:w="0" w:type="dxa"/>
              <w:right w:w="0" w:type="dxa"/>
            </w:tcMar>
          </w:tcPr>
          <w:p>
            <w:pPr>
              <w:pStyle w:val="RoleHeading"/>
            </w:pPr>
            <w:r>
              <w:rPr>
                <w:b/>
              </w:rPr>
              <w:t>B.Sc. in Geophysics, Atmospheric &amp; Planetary Sciences, Cum Laude</w:t>
            </w:r>
            <w:r>
              <w:rPr>
                <w:b w:val="0"/>
              </w:rPr>
              <w:t xml:space="preserve"> | Tel Aviv University</w:t>
            </w:r>
          </w:p>
        </w:tc>
        <w:tc>
          <w:tcPr>
            <w:tcW w:type="dxa" w:w="5184"/>
            <w:vAlign w:val="top"/>
            <w:tcMar>
              <w:top w:w="0" w:type="dxa"/>
              <w:left w:w="0" w:type="dxa"/>
              <w:bottom w:w="0" w:type="dxa"/>
              <w:right w:w="0" w:type="dxa"/>
            </w:tcMar>
          </w:tcPr>
          <w:p>
            <w:pPr>
              <w:pStyle w:val="RoleHeading"/>
              <w:jc w:val="right"/>
            </w:pPr>
            <w:r>
              <w:t>2003</w:t>
            </w:r>
          </w:p>
        </w:tc>
      </w:tr>
    </w:tbl>
    <w:p>
      <w:pPr>
        <w:pStyle w:val="SectionHeading"/>
        <w:pBdr>
          <w:bottom w:val="single" w:sz="6" w:space="1" w:color="D8CDBD"/>
        </w:pBdr>
      </w:pPr>
      <w:r>
        <w:t>TECHNICAL AREAS</w:t>
      </w:r>
    </w:p>
    <w:tbl>
      <w:tblPr>
        <w:tblW w:type="auto" w:w="0"/>
        <w:jc w:val="center"/>
        <w:tblLayout w:type="fixed"/>
        <w:tblLook w:firstColumn="1" w:firstRow="1" w:lastColumn="0" w:lastRow="0" w:noHBand="0" w:noVBand="1" w:val="04A0"/>
      </w:tblPr>
      <w:tblGrid>
        <w:gridCol w:w="5184"/>
        <w:gridCol w:w="5184"/>
      </w:tblGrid>
      <w:tr>
        <w:tc>
          <w:tcPr>
            <w:tcW w:type="dxa" w:w="1944"/>
            <w:tcMar>
              <w:top w:w="35" w:type="dxa"/>
              <w:left w:w="35" w:type="dxa"/>
              <w:bottom w:w="35" w:type="dxa"/>
              <w:right w:w="35" w:type="dxa"/>
            </w:tcMar>
          </w:tcPr>
          <w:p>
            <w:r>
              <w:rPr>
                <w:b/>
              </w:rPr>
              <w:t>Remote sensing</w:t>
            </w:r>
          </w:p>
        </w:tc>
        <w:tc>
          <w:tcPr>
            <w:tcW w:type="dxa" w:w="8496"/>
            <w:tcMar>
              <w:top w:w="35" w:type="dxa"/>
              <w:left w:w="35" w:type="dxa"/>
              <w:bottom w:w="35" w:type="dxa"/>
              <w:right w:w="35" w:type="dxa"/>
            </w:tcMar>
          </w:tcPr>
          <w:p>
            <w:r>
              <w:t>Radiometric calibration; instrument characterization; time-series trending; validation; data quality</w:t>
            </w:r>
          </w:p>
        </w:tc>
      </w:tr>
      <w:tr>
        <w:tc>
          <w:tcPr>
            <w:tcW w:type="dxa" w:w="1944"/>
            <w:tcMar>
              <w:top w:w="35" w:type="dxa"/>
              <w:left w:w="35" w:type="dxa"/>
              <w:bottom w:w="35" w:type="dxa"/>
              <w:right w:w="35" w:type="dxa"/>
            </w:tcMar>
          </w:tcPr>
          <w:p>
            <w:r>
              <w:rPr>
                <w:b/>
              </w:rPr>
              <w:t>Modeling</w:t>
            </w:r>
          </w:p>
        </w:tc>
        <w:tc>
          <w:tcPr>
            <w:tcW w:type="dxa" w:w="8496"/>
            <w:tcMar>
              <w:top w:w="35" w:type="dxa"/>
              <w:left w:w="35" w:type="dxa"/>
              <w:bottom w:w="35" w:type="dxa"/>
              <w:right w:w="35" w:type="dxa"/>
            </w:tcMar>
          </w:tcPr>
          <w:p>
            <w:r>
              <w:t>Orbital dynamics; heat and mass transfer; small-body evolution; ejecta dynamics; uncertainty/sensitivity analysis</w:t>
            </w:r>
          </w:p>
        </w:tc>
      </w:tr>
      <w:tr>
        <w:tc>
          <w:tcPr>
            <w:tcW w:type="dxa" w:w="1944"/>
            <w:tcMar>
              <w:top w:w="35" w:type="dxa"/>
              <w:left w:w="35" w:type="dxa"/>
              <w:bottom w:w="35" w:type="dxa"/>
              <w:right w:w="35" w:type="dxa"/>
            </w:tcMar>
          </w:tcPr>
          <w:p>
            <w:r>
              <w:rPr>
                <w:b/>
              </w:rPr>
              <w:t>Computing</w:t>
            </w:r>
          </w:p>
        </w:tc>
        <w:tc>
          <w:tcPr>
            <w:tcW w:type="dxa" w:w="8496"/>
            <w:tcMar>
              <w:top w:w="35" w:type="dxa"/>
              <w:left w:w="35" w:type="dxa"/>
              <w:bottom w:w="35" w:type="dxa"/>
              <w:right w:w="35" w:type="dxa"/>
            </w:tcMar>
          </w:tcPr>
          <w:p>
            <w:r>
              <w:t>Python; C/C++; Fortran; shell scripting; Linux/Unix; Git</w:t>
            </w:r>
          </w:p>
        </w:tc>
      </w:tr>
    </w:tbl>
    <w:p>
      <w:pPr>
        <w:pStyle w:val="SectionHeading"/>
        <w:pBdr>
          <w:bottom w:val="single" w:sz="6" w:space="1" w:color="D8CDBD"/>
        </w:pBdr>
      </w:pPr>
      <w:r>
        <w:t>SELECTED COLLABORATIVE ROLES</w:t>
      </w:r>
    </w:p>
    <w:p>
      <w:pPr>
        <w:spacing w:after="30"/>
        <w:ind w:left="259" w:hanging="173"/>
      </w:pPr>
      <w:r>
        <w:rPr>
          <w:b/>
        </w:rPr>
        <w:t xml:space="preserve">• </w:t>
      </w:r>
      <w:r>
        <w:t>DART / Didymos: participant in Dynamical and Physical Properties investigation work; coauthor of later modeling of spatial and temporal ejecta outcomes in Didymos-like binary systems.</w:t>
      </w:r>
    </w:p>
    <w:p>
      <w:pPr>
        <w:spacing w:after="30"/>
        <w:ind w:left="259" w:hanging="173"/>
      </w:pPr>
      <w:r>
        <w:rPr>
          <w:b/>
        </w:rPr>
        <w:t xml:space="preserve">• </w:t>
      </w:r>
      <w:r>
        <w:t>Rubin Observatory LSST Solar System Science Collaboration: publication coordinator, helping manuscripts move through the collaboration publication-policy process.</w:t>
      </w:r>
    </w:p>
    <w:p>
      <w:pPr>
        <w:pStyle w:val="SectionHeading"/>
        <w:pBdr>
          <w:bottom w:val="single" w:sz="6" w:space="1" w:color="D8CDBD"/>
        </w:pBdr>
      </w:pPr>
      <w:r>
        <w:t>SELECTED PUBLICATIONS</w:t>
      </w:r>
    </w:p>
    <w:tbl>
      <w:tblPr>
        <w:tblW w:type="auto" w:w="0"/>
        <w:jc w:val="center"/>
        <w:tblLayout w:type="fixed"/>
        <w:tblLook w:firstColumn="1" w:firstRow="1" w:lastColumn="0" w:lastRow="0" w:noHBand="0" w:noVBand="1" w:val="04A0"/>
      </w:tblPr>
      <w:tblGrid>
        <w:gridCol w:w="1008"/>
        <w:gridCol w:w="9432"/>
      </w:tblGrid>
      <w:tr>
        <w:tc>
          <w:tcPr>
            <w:tcW w:type="dxa" w:w="5184"/>
            <w:tcMar>
              <w:top w:w="25" w:type="dxa"/>
              <w:left w:w="25" w:type="dxa"/>
              <w:bottom w:w="25" w:type="dxa"/>
              <w:right w:w="25" w:type="dxa"/>
            </w:tcMar>
          </w:tcPr>
          <w:p>
            <w:r>
              <w:rPr>
                <w:b/>
              </w:rPr>
              <w:t>2026</w:t>
            </w:r>
          </w:p>
        </w:tc>
        <w:tc>
          <w:tcPr>
            <w:tcW w:type="dxa" w:w="5184"/>
            <w:tcMar>
              <w:top w:w="25" w:type="dxa"/>
              <w:left w:w="25" w:type="dxa"/>
              <w:bottom w:w="25" w:type="dxa"/>
              <w:right w:w="25" w:type="dxa"/>
            </w:tcMar>
          </w:tcPr>
          <w:p>
            <w:r>
              <w:t>Xiong, X., et al. (including G. Sarid). “Terra MODIS Mission Operation, Calibration, and Performance.” Journal of Applied Remote Sensing 20(2), 027502.</w:t>
            </w:r>
          </w:p>
        </w:tc>
      </w:tr>
    </w:tbl>
    <w:tbl>
      <w:tblPr>
        <w:tblW w:type="auto" w:w="0"/>
        <w:jc w:val="center"/>
        <w:tblLayout w:type="fixed"/>
        <w:tblLook w:firstColumn="1" w:firstRow="1" w:lastColumn="0" w:lastRow="0" w:noHBand="0" w:noVBand="1" w:val="04A0"/>
      </w:tblPr>
      <w:tblGrid>
        <w:gridCol w:w="1008"/>
        <w:gridCol w:w="9432"/>
      </w:tblGrid>
      <w:tr>
        <w:tc>
          <w:tcPr>
            <w:tcW w:type="dxa" w:w="5184"/>
            <w:tcMar>
              <w:top w:w="25" w:type="dxa"/>
              <w:left w:w="25" w:type="dxa"/>
              <w:bottom w:w="25" w:type="dxa"/>
              <w:right w:w="25" w:type="dxa"/>
            </w:tcMar>
          </w:tcPr>
          <w:p>
            <w:r>
              <w:rPr>
                <w:b/>
              </w:rPr>
              <w:t>2025</w:t>
            </w:r>
          </w:p>
        </w:tc>
        <w:tc>
          <w:tcPr>
            <w:tcW w:type="dxa" w:w="5184"/>
            <w:tcMar>
              <w:top w:w="25" w:type="dxa"/>
              <w:left w:w="25" w:type="dxa"/>
              <w:bottom w:w="25" w:type="dxa"/>
              <w:right w:w="25" w:type="dxa"/>
            </w:tcMar>
          </w:tcPr>
          <w:p>
            <w:r>
              <w:t>Bauer, J., Ivanova, O., McKay, A., &amp; Sarid, G. “Activity, Outbursts and Explosions.” In Centaurs.</w:t>
            </w:r>
          </w:p>
        </w:tc>
      </w:tr>
    </w:tbl>
    <w:tbl>
      <w:tblPr>
        <w:tblW w:type="auto" w:w="0"/>
        <w:jc w:val="center"/>
        <w:tblLayout w:type="fixed"/>
        <w:tblLook w:firstColumn="1" w:firstRow="1" w:lastColumn="0" w:lastRow="0" w:noHBand="0" w:noVBand="1" w:val="04A0"/>
      </w:tblPr>
      <w:tblGrid>
        <w:gridCol w:w="1008"/>
        <w:gridCol w:w="9432"/>
      </w:tblGrid>
      <w:tr>
        <w:tc>
          <w:tcPr>
            <w:tcW w:type="dxa" w:w="5184"/>
            <w:tcMar>
              <w:top w:w="25" w:type="dxa"/>
              <w:left w:w="25" w:type="dxa"/>
              <w:bottom w:w="25" w:type="dxa"/>
              <w:right w:w="25" w:type="dxa"/>
            </w:tcMar>
          </w:tcPr>
          <w:p>
            <w:r>
              <w:rPr>
                <w:b/>
              </w:rPr>
              <w:t>2024</w:t>
            </w:r>
          </w:p>
        </w:tc>
        <w:tc>
          <w:tcPr>
            <w:tcW w:type="dxa" w:w="5184"/>
            <w:tcMar>
              <w:top w:w="25" w:type="dxa"/>
              <w:left w:w="25" w:type="dxa"/>
              <w:bottom w:w="25" w:type="dxa"/>
              <w:right w:w="25" w:type="dxa"/>
            </w:tcMar>
          </w:tcPr>
          <w:p>
            <w:r>
              <w:t>Twedt, K., Xiong, X., Sarid, G., &amp; Kwasizur, J. “Continuing impact of satellite orbit drift on MODIS solar diffuser calibrations.” Proc. SPIE 13192.</w:t>
            </w:r>
          </w:p>
        </w:tc>
      </w:tr>
    </w:tbl>
    <w:tbl>
      <w:tblPr>
        <w:tblW w:type="auto" w:w="0"/>
        <w:jc w:val="center"/>
        <w:tblLayout w:type="fixed"/>
        <w:tblLook w:firstColumn="1" w:firstRow="1" w:lastColumn="0" w:lastRow="0" w:noHBand="0" w:noVBand="1" w:val="04A0"/>
      </w:tblPr>
      <w:tblGrid>
        <w:gridCol w:w="1008"/>
        <w:gridCol w:w="9432"/>
      </w:tblGrid>
      <w:tr>
        <w:tc>
          <w:tcPr>
            <w:tcW w:type="dxa" w:w="5184"/>
            <w:tcMar>
              <w:top w:w="25" w:type="dxa"/>
              <w:left w:w="25" w:type="dxa"/>
              <w:bottom w:w="25" w:type="dxa"/>
              <w:right w:w="25" w:type="dxa"/>
            </w:tcMar>
          </w:tcPr>
          <w:p>
            <w:r>
              <w:rPr>
                <w:b/>
              </w:rPr>
              <w:t>2024</w:t>
            </w:r>
          </w:p>
        </w:tc>
        <w:tc>
          <w:tcPr>
            <w:tcW w:type="dxa" w:w="5184"/>
            <w:tcMar>
              <w:top w:w="25" w:type="dxa"/>
              <w:left w:w="25" w:type="dxa"/>
              <w:bottom w:w="25" w:type="dxa"/>
              <w:right w:w="25" w:type="dxa"/>
            </w:tcMar>
          </w:tcPr>
          <w:p>
            <w:r>
              <w:t>Chen, H., Link, D. O., Sarid, G., Chiang, K. V., et al. “On-orbit calibration and performance of the NOAA-21 VIIRS day-night band.” Proc. SPIE.</w:t>
            </w:r>
          </w:p>
        </w:tc>
      </w:tr>
    </w:tbl>
    <w:tbl>
      <w:tblPr>
        <w:tblW w:type="auto" w:w="0"/>
        <w:jc w:val="center"/>
        <w:tblLayout w:type="fixed"/>
        <w:tblLook w:firstColumn="1" w:firstRow="1" w:lastColumn="0" w:lastRow="0" w:noHBand="0" w:noVBand="1" w:val="04A0"/>
      </w:tblPr>
      <w:tblGrid>
        <w:gridCol w:w="1008"/>
        <w:gridCol w:w="9432"/>
      </w:tblGrid>
      <w:tr>
        <w:tc>
          <w:tcPr>
            <w:tcW w:type="dxa" w:w="5184"/>
            <w:tcMar>
              <w:top w:w="25" w:type="dxa"/>
              <w:left w:w="25" w:type="dxa"/>
              <w:bottom w:w="25" w:type="dxa"/>
              <w:right w:w="25" w:type="dxa"/>
            </w:tcMar>
          </w:tcPr>
          <w:p>
            <w:r>
              <w:rPr>
                <w:b/>
              </w:rPr>
              <w:t>2024</w:t>
            </w:r>
          </w:p>
        </w:tc>
        <w:tc>
          <w:tcPr>
            <w:tcW w:type="dxa" w:w="5184"/>
            <w:tcMar>
              <w:top w:w="25" w:type="dxa"/>
              <w:left w:w="25" w:type="dxa"/>
              <w:bottom w:w="25" w:type="dxa"/>
              <w:right w:w="25" w:type="dxa"/>
            </w:tcMar>
          </w:tcPr>
          <w:p>
            <w:r>
              <w:t>Larson, J. N., Fernández, Y. R., &amp; Sarid, G. “Categorization of Spatial and Temporal Ejecta Outcomes in Binary Systems Based on Variations of the Didymos System.” The Planetary Science Journal 5(1):5.</w:t>
            </w:r>
          </w:p>
        </w:tc>
      </w:tr>
    </w:tbl>
    <w:tbl>
      <w:tblPr>
        <w:tblW w:type="auto" w:w="0"/>
        <w:jc w:val="center"/>
        <w:tblLayout w:type="fixed"/>
        <w:tblLook w:firstColumn="1" w:firstRow="1" w:lastColumn="0" w:lastRow="0" w:noHBand="0" w:noVBand="1" w:val="04A0"/>
      </w:tblPr>
      <w:tblGrid>
        <w:gridCol w:w="1008"/>
        <w:gridCol w:w="9432"/>
      </w:tblGrid>
      <w:tr>
        <w:tc>
          <w:tcPr>
            <w:tcW w:type="dxa" w:w="5184"/>
            <w:tcMar>
              <w:top w:w="25" w:type="dxa"/>
              <w:left w:w="25" w:type="dxa"/>
              <w:bottom w:w="25" w:type="dxa"/>
              <w:right w:w="25" w:type="dxa"/>
            </w:tcMar>
          </w:tcPr>
          <w:p>
            <w:r>
              <w:rPr>
                <w:b/>
              </w:rPr>
              <w:t>2022</w:t>
            </w:r>
          </w:p>
        </w:tc>
        <w:tc>
          <w:tcPr>
            <w:tcW w:type="dxa" w:w="5184"/>
            <w:tcMar>
              <w:top w:w="25" w:type="dxa"/>
              <w:left w:w="25" w:type="dxa"/>
              <w:bottom w:w="25" w:type="dxa"/>
              <w:right w:w="25" w:type="dxa"/>
            </w:tcMar>
          </w:tcPr>
          <w:p>
            <w:r>
              <w:t>Sarid, G., Twedt, K., &amp; Xiong, X. “MODIS solar diffuser calibration strategies for the post orbital drift era.” Proc. SPIE 12232.</w:t>
            </w:r>
          </w:p>
        </w:tc>
      </w:tr>
    </w:tbl>
    <w:tbl>
      <w:tblPr>
        <w:tblW w:type="auto" w:w="0"/>
        <w:jc w:val="center"/>
        <w:tblLayout w:type="fixed"/>
        <w:tblLook w:firstColumn="1" w:firstRow="1" w:lastColumn="0" w:lastRow="0" w:noHBand="0" w:noVBand="1" w:val="04A0"/>
      </w:tblPr>
      <w:tblGrid>
        <w:gridCol w:w="1008"/>
        <w:gridCol w:w="9432"/>
      </w:tblGrid>
      <w:tr>
        <w:tc>
          <w:tcPr>
            <w:tcW w:type="dxa" w:w="5184"/>
            <w:tcMar>
              <w:top w:w="25" w:type="dxa"/>
              <w:left w:w="25" w:type="dxa"/>
              <w:bottom w:w="25" w:type="dxa"/>
              <w:right w:w="25" w:type="dxa"/>
            </w:tcMar>
          </w:tcPr>
          <w:p>
            <w:r>
              <w:rPr>
                <w:b/>
              </w:rPr>
              <w:t>2019</w:t>
            </w:r>
          </w:p>
        </w:tc>
        <w:tc>
          <w:tcPr>
            <w:tcW w:type="dxa" w:w="5184"/>
            <w:tcMar>
              <w:top w:w="25" w:type="dxa"/>
              <w:left w:w="25" w:type="dxa"/>
              <w:bottom w:w="25" w:type="dxa"/>
              <w:right w:w="25" w:type="dxa"/>
            </w:tcMar>
          </w:tcPr>
          <w:p>
            <w:r>
              <w:t>Sarid, G., Volk, K., Steckloff, J. K., Harris, W., Womack, M., &amp; Woodney, L. M. “29P/Schwassmann–Wachmann 1, A Centaur in the Gateway to the Jupiter-Family Comets.” ApJ Letters 883:L25.</w:t>
            </w:r>
          </w:p>
        </w:tc>
      </w:tr>
    </w:tbl>
    <w:tbl>
      <w:tblPr>
        <w:tblW w:type="auto" w:w="0"/>
        <w:jc w:val="center"/>
        <w:tblLayout w:type="fixed"/>
        <w:tblLook w:firstColumn="1" w:firstRow="1" w:lastColumn="0" w:lastRow="0" w:noHBand="0" w:noVBand="1" w:val="04A0"/>
      </w:tblPr>
      <w:tblGrid>
        <w:gridCol w:w="1008"/>
        <w:gridCol w:w="9432"/>
      </w:tblGrid>
      <w:tr>
        <w:tc>
          <w:tcPr>
            <w:tcW w:type="dxa" w:w="5184"/>
            <w:tcMar>
              <w:top w:w="25" w:type="dxa"/>
              <w:left w:w="25" w:type="dxa"/>
              <w:bottom w:w="25" w:type="dxa"/>
              <w:right w:w="25" w:type="dxa"/>
            </w:tcMar>
          </w:tcPr>
          <w:p>
            <w:r>
              <w:rPr>
                <w:b/>
              </w:rPr>
              <w:t>2009</w:t>
            </w:r>
          </w:p>
        </w:tc>
        <w:tc>
          <w:tcPr>
            <w:tcW w:type="dxa" w:w="5184"/>
            <w:tcMar>
              <w:top w:w="25" w:type="dxa"/>
              <w:left w:w="25" w:type="dxa"/>
              <w:bottom w:w="25" w:type="dxa"/>
              <w:right w:w="25" w:type="dxa"/>
            </w:tcMar>
          </w:tcPr>
          <w:p>
            <w:r>
              <w:t>Sarid, G. &amp; Prialnik, D. “From KBOs to Centaurs: The thermal connection.” Meteoritics &amp; Planetary Science 44(12), 1905–1916.</w:t>
            </w:r>
          </w:p>
        </w:tc>
      </w:tr>
    </w:tbl>
    <w:p>
      <w:pPr>
        <w:pStyle w:val="SectionHeading"/>
        <w:pBdr>
          <w:bottom w:val="single" w:sz="6" w:space="1" w:color="D8CDBD"/>
        </w:pBdr>
      </w:pPr>
      <w:r>
        <w:t>SELECTED PROFESSIONAL ACTIVITY</w:t>
      </w:r>
    </w:p>
    <w:p>
      <w:pPr>
        <w:spacing w:after="30"/>
        <w:ind w:left="259" w:hanging="173"/>
      </w:pPr>
      <w:r>
        <w:rPr>
          <w:b/>
        </w:rPr>
        <w:t xml:space="preserve">• </w:t>
      </w:r>
      <w:r>
        <w:t>NASA and NSF proposal/review panels, including panel and external-review service documented in the public academic CV.</w:t>
      </w:r>
    </w:p>
    <w:p>
      <w:pPr>
        <w:spacing w:after="30"/>
        <w:ind w:left="259" w:hanging="173"/>
      </w:pPr>
      <w:r>
        <w:rPr>
          <w:b/>
        </w:rPr>
        <w:t xml:space="preserve">• </w:t>
      </w:r>
      <w:r>
        <w:t>Scientific presentations and workshops in planetary science, remote sensing, calibration, and mission concepts.</w:t>
      </w:r>
    </w:p>
    <w:p>
      <w:pPr>
        <w:spacing w:after="30"/>
        <w:ind w:left="259" w:hanging="173"/>
      </w:pPr>
      <w:r>
        <w:rPr>
          <w:b/>
        </w:rPr>
        <w:t xml:space="preserve">• </w:t>
      </w:r>
      <w:r>
        <w:t>Programming and research workflows: Python, C/C++, Fortran, shell, Linux/Unix, Git.</w:t>
      </w:r>
    </w:p>
    <w:p>
      <w:pPr>
        <w:pStyle w:val="SectionHeading"/>
        <w:pBdr>
          <w:bottom w:val="single" w:sz="6" w:space="1" w:color="D8CDBD"/>
        </w:pBdr>
      </w:pPr>
      <w:r>
        <w:t>PUBLIC PROFILES</w:t>
      </w:r>
    </w:p>
    <w:p>
      <w:pPr>
        <w:spacing w:after="20"/>
      </w:pPr>
      <w:r>
        <w:t>LinkedIn: https://www.linkedin.com/in/gal-sarid/</w:t>
      </w:r>
    </w:p>
    <w:p>
      <w:pPr>
        <w:spacing w:after="20"/>
      </w:pPr>
      <w:r>
        <w:t>NASA: https://science.gsfc.nasa.gov/sci/bio/gal.sarid</w:t>
      </w:r>
    </w:p>
    <w:p>
      <w:pPr>
        <w:spacing w:after="20"/>
      </w:pPr>
      <w:r>
        <w:t>ORCID: https://orcid.org/0000-0001-5678-5044</w:t>
      </w:r>
    </w:p>
    <w:p>
      <w:pPr>
        <w:spacing w:after="20"/>
      </w:pPr>
      <w:r>
        <w:t>Google Scholar: https://scholar.google.com/citations?user=f2A_wOEAAAAJ&amp;hl=en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Heading">
    <w:name w:val="CV Heading"/>
    <w:pPr>
      <w:spacing w:before="0" w:after="60"/>
    </w:pPr>
    <w:rPr>
      <w:rFonts w:ascii="Aptos" w:hAnsi="Aptos"/>
      <w:b/>
      <w:color w:val="1E292D"/>
      <w:sz w:val="36"/>
    </w:rPr>
  </w:style>
  <w:style w:type="paragraph" w:customStyle="1" w:styleId="CVSubheading">
    <w:name w:val="CV Subheading"/>
    <w:pPr>
      <w:spacing w:before="0" w:after="100"/>
    </w:pPr>
    <w:rPr>
      <w:rFonts w:ascii="Aptos" w:hAnsi="Aptos"/>
      <w:b w:val="0"/>
      <w:color w:val="5C686B"/>
      <w:sz w:val="21"/>
    </w:rPr>
  </w:style>
  <w:style w:type="paragraph" w:customStyle="1" w:styleId="SectionHeading">
    <w:name w:val="Section Heading"/>
    <w:pPr>
      <w:keepNext/>
      <w:spacing w:before="140" w:after="80"/>
    </w:pPr>
    <w:rPr>
      <w:rFonts w:ascii="Aptos" w:hAnsi="Aptos"/>
      <w:b/>
      <w:color w:val="A84C38"/>
      <w:sz w:val="23"/>
    </w:rPr>
  </w:style>
  <w:style w:type="paragraph" w:customStyle="1" w:styleId="RoleHeading">
    <w:name w:val="Role Heading"/>
    <w:pPr>
      <w:spacing w:before="80" w:after="20"/>
    </w:pPr>
    <w:rPr>
      <w:rFonts w:ascii="Aptos" w:hAnsi="Aptos"/>
      <w:b/>
      <w:color w:val="1E292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