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8"/>
          <w:sz w:val="22"/>
          <w:szCs w:val="22"/>
        </w:rPr>
        <w:t xml:space="preserve">PROJET PORTFOLIO — ANALYSE D’AFFAIRES TI</w:t>
      </w:r>
    </w:p>
    <w:p>
      <w:pPr>
        <w:pBdr>
          <w:bottom w:val="single" w:color="1F3864" w:sz="6" w:space="6"/>
        </w:pBdr>
        <w:spacing w:after="200"/>
      </w:pPr>
      <w:r>
        <w:rPr>
          <w:b/>
          <w:bCs/>
          <w:color w:val="1F3864"/>
          <w:sz w:val="32"/>
          <w:szCs w:val="32"/>
        </w:rPr>
        <w:t xml:space="preserve">Consolidation post-acquisition des données client — étude de cas iA Groupe financier</w:t>
      </w:r>
    </w:p>
    <w:p>
      <w:pPr>
        <w:spacing w:after="140" w:line="288"/>
        <w:jc w:val="both"/>
      </w:pPr>
      <w:r>
        <w:t xml:space="preserve">Ce dossier rassemble une étude d’analyse d’affaires complète, menée comme un véritable mandat de consultant plutôt que comme un exercice académique. Le point de départ est un problème réel et vérifiable : iA Groupe financier (TSX : IAG), assureur et gestionnaire de patrimoine de Québec, a réalisé 35 acquisitions depuis 2015 — dont RF Capital en 2025, qui a ajouté 43,6 G$ d’actifs. Cette croissance laisse en héritage une fragmentation probable des référentiels clients et des processus, un enjeu que les propres divulgations publiques de la Société signalent (dépréciation logicielle de ~32 M$ en 2025, rattachement de la fonction TI au chef de la direction en 2026).</w:t>
      </w:r>
    </w:p>
    <w:p>
      <w:pPr>
        <w:spacing w:after="140" w:line="288"/>
        <w:jc w:val="both"/>
      </w:pPr>
      <w:r>
        <w:rPr>
          <w:b/>
          <w:bCs/>
          <w:color w:val="1F3864"/>
        </w:rPr>
        <w:t xml:space="preserve">La démarche. </w:t>
      </w:r>
      <w:r>
        <w:t xml:space="preserve">J’ai porté ce problème à travers les sept étapes d’un mandat d’analyse d’affaires : profil corporatif et financier, cas d’affaires chiffré, modélisation des processus (BPMN AS-IS/TO-BE), modélisation des données (ERD, dictionnaire, SQL), planification Agile (charte, backlog, risques, RACI), tableau de bord de KPI, puis rapport d’analyste final. Chaque livrable s’appuie sur le précédent.</w:t>
      </w:r>
    </w:p>
    <w:p>
      <w:pPr>
        <w:spacing w:after="140" w:line="288"/>
        <w:jc w:val="both"/>
      </w:pPr>
      <w:r>
        <w:rPr>
          <w:b/>
          <w:bCs/>
          <w:color w:val="1F3864"/>
        </w:rPr>
        <w:t xml:space="preserve">Ce qui distingue ce dossier. </w:t>
      </w:r>
      <w:r>
        <w:t xml:space="preserve">D’abord, une discipline de données stricte : les faits financiers et corporatifs sont réels et sourcés (rapport annuel, états financiers audités, S&amp;P Capital IQ), tandis que les hypothèses de coûts et de bénéfices sont clairement identifiées, numérotées et testées en sensibilité. Ensuite, une traçabilité continue : chaque irritant de processus est relié à une transformation, à un bénéfice financier, à un indicateur mesurable et à un jalon décisionnel. Enfin, une rigueur de consultant : le cas d’affaires ne vend pas un chiffre optimiste — il identifie un seuil d’équilibre (75,9 % de réalisation des bénéfices) et en tire une gouvernance par phases avec décisions go/no-go.</w:t>
      </w:r>
    </w:p>
    <w:p>
      <w:pPr>
        <w:spacing w:after="140" w:line="288"/>
        <w:jc w:val="both"/>
      </w:pPr>
      <w:r>
        <w:rPr>
          <w:b/>
          <w:bCs/>
          <w:color w:val="1F3864"/>
        </w:rPr>
        <w:t xml:space="preserve">Compétences démontrées. </w:t>
      </w:r>
      <w:r>
        <w:t xml:space="preserve">Analyse financière (VAN, TRI, sensibilité), rédaction de cas d’affaires, modélisation BPMN et de données, SQL (PostgreSQL), méthodes Agile et priorisation MoSCoW, conception de KPI et de tableaux de bord, gestion des risques et des parties prenantes. Outils : Excel, Word, Lucidchart, monday.com, Power BI, Capital IQ.</w:t>
      </w:r>
    </w:p>
    <w:p>
      <w:pPr>
        <w:spacing w:after="140" w:line="288"/>
        <w:jc w:val="both"/>
      </w:pPr>
      <w:r>
        <w:rPr>
          <w:b/>
          <w:bCs/>
          <w:color w:val="1F3864"/>
        </w:rPr>
        <w:t xml:space="preserve">Outils et livrables. </w:t>
      </w:r>
      <w:r>
        <w:t xml:space="preserve">Le dossier contient douze fichiers — documents Word, modèles Excel, diagrammes, script SQL — organisés par livrable. Le rapport final (Livrable 7) est le meilleur point d’entrée : il résume le raisonnement de bout en bout en cinq pages.</w:t>
      </w:r>
    </w:p>
    <w:p>
      <w:pPr>
        <w:spacing w:before="120"/>
        <w:jc w:val="both"/>
      </w:pPr>
      <w:r>
        <w:rPr>
          <w:i/>
          <w:iCs/>
          <w:color w:val="595959"/>
          <w:sz w:val="18"/>
          <w:szCs w:val="18"/>
        </w:rPr>
        <w:t xml:space="preserve">Note : mandat simulé à des fins de démonstration professionnelle. iA Groupe financier n’est pas affilié à ce travail; seules les données publiques citées sont réelles.</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Portfolio analyse d’affaires TI · Étude de cas iA Groupe financier (mandat simulé)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2026-07-13T00:07:52.332Z</dcterms:created>
  <dcterms:modified xsi:type="dcterms:W3CDTF">2026-07-13T00:07:52.345Z</dcterms:modified>
</cp:coreProperties>
</file>

<file path=docProps/custom.xml><?xml version="1.0" encoding="utf-8"?>
<Properties xmlns="http://schemas.openxmlformats.org/officeDocument/2006/custom-properties" xmlns:vt="http://schemas.openxmlformats.org/officeDocument/2006/docPropsVTypes"/>
</file>