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в1967, Дж. Гилфорд стал рассматривал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0"/>
        <w:keepNext w:val="0"/>
        <w:keepLines w:val="0"/>
        <w:framePr w:w="9652" w:wrap="notBeside" w:vAnchor="text" w:hAnchor="text" w:xAlign="center" w:y="1"/>
        <w:widowControl w:val="0"/>
        <w:shd w:val="clear" w:color="auto" w:fill="auto"/>
        <w:bidi w:val="0"/>
        <w:spacing w:before="0" w:after="0"/>
        <w:ind w:left="0" w:right="0" w:firstLine="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6"/>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Мэйер и Сэловей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Гоулман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Определение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«Эмоциональный</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интеллект-</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множество</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175" w:rightChars="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 xml:space="preserve">1995,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ляются физическим состо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янием, чувствами, и мыс</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туально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Salovey,</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Межличностные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26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Эмоциональное само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ная ответствен</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эмпатия 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верка решительности, гибкость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Шкалы управления стрессом</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Стресс, Терпимость,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Импульсивность,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Контроль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Основные 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быть в «общем потоке»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Распознавание эмоций других</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Эмпатическое пони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Управление отношения</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(Mayer &amp; Salovey, 1995).Смешанные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t xml:space="preserve">[5, </w:t>
      </w:r>
      <w:r>
        <w:rPr>
          <w:lang w:val="en-US"/>
        </w:rPr>
        <w:t>c</w:t>
      </w:r>
      <w:r>
        <w:t>. 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(Goleman, 1995, р. 44). Он идет дальше и утверждает, что «есть старо­ 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эмоционального интеллекта приведет к меньшему количеству грубости или агрессивности, к достижению большей популярности, улучшению учебы» (Goleman, 1995, р. 192), и «позволит принять лучшие решения о наркотиках, курении и сексе» (Goleman, 1995, р. 268). На работе эмоциональный интеллект поможет людям «во взаимодействии, в сотрудничестве, во взаимопомощи, совместной работе» (Goleman,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(Salovey &amp; Mayer, 1990; Mayer &amp; Salovey, 1997).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(Ваг-Оп, 1997; Goleman, 1995). Рисунок 2 показывает сложный состав эмоционального интеллекта, описанный этими тремя моделями (см. также рисунок 1). На рисунке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w:t>
      </w:r>
      <w:r>
        <w:t xml:space="preserve">[5, </w:t>
      </w:r>
      <w:r>
        <w:rPr>
          <w:lang w:val="en-US"/>
        </w:rPr>
        <w:t>c</w:t>
      </w:r>
      <w:r>
        <w:t>. 25]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6468745" cy="4125595"/>
            <wp:effectExtent l="0" t="0" r="8255" b="825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6468745" cy="41255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 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 жили работу. К 1999 г. к ним присоединился Дэвид Карузо (Mayer, Caruso, Salovey, 1999), и уже в 2002 г. они предложили новый т е с 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2.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4"/>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6.</w:t>
      </w:r>
      <w:r>
        <w:rPr>
          <w:rFonts w:hint="default" w:ascii="Times New Roman" w:hAnsi="Times New Roman" w:cs="Times New Roman"/>
          <w:sz w:val="28"/>
          <w:szCs w:val="32"/>
        </w:rPr>
        <w:t>Диагностика «эмоционального интеллекта» (Н. Холл) / Фетискин Н.П., Козлов В.В., Мануйлов Г.М</w:t>
      </w:r>
      <w:bookmarkStart w:id="0" w:name="_GoBack"/>
      <w:bookmarkEnd w:id="0"/>
      <w:r>
        <w:rPr>
          <w:rFonts w:hint="default" w:ascii="Times New Roman" w:hAnsi="Times New Roman" w:cs="Times New Roman"/>
          <w:sz w:val="28"/>
          <w:szCs w:val="32"/>
        </w:rPr>
        <w:t>. Социально-психологическая диагностика развития личности и малых групп. – М., Изд-во Института Психотерапии. 2002. C.57-59</w:t>
      </w:r>
    </w:p>
    <w:sectPr>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mes New Roman CYR">
    <w:altName w:val="DejaVu Sans"/>
    <w:panose1 w:val="00000000000000000000"/>
    <w:charset w:val="00"/>
    <w:family w:val="decorative"/>
    <w:pitch w:val="default"/>
    <w:sig w:usb0="00000000" w:usb1="00000000" w:usb2="00000000" w:usb3="00000000" w:csb0="00040001" w:csb1="00000000"/>
  </w:font>
  <w:font w:name="Symbol">
    <w:altName w:val="Monospace"/>
    <w:panose1 w:val="00000000000000000000"/>
    <w:charset w:val="00"/>
    <w:family w:val="decorative"/>
    <w:pitch w:val="default"/>
    <w:sig w:usb0="00000000" w:usb1="00000000" w:usb2="00000000" w:usb3="00000000" w:csb0="00040001" w:csb1="00000000"/>
  </w:font>
  <w:font w:name="Times New Roman Greek">
    <w:altName w:val="DejaVu Sans"/>
    <w:panose1 w:val="00000000000000000000"/>
    <w:charset w:val="00"/>
    <w:family w:val="decorative"/>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roma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25FFE769"/>
    <w:rsid w:val="34FE7E38"/>
    <w:rsid w:val="3DC75820"/>
    <w:rsid w:val="4FF92E80"/>
    <w:rsid w:val="6FBCE210"/>
    <w:rsid w:val="79DE81B8"/>
    <w:rsid w:val="7D5F8A81"/>
    <w:rsid w:val="7DD5FDFB"/>
    <w:rsid w:val="7F5D0E63"/>
    <w:rsid w:val="7FEA9D3D"/>
    <w:rsid w:val="AAF3BD64"/>
    <w:rsid w:val="AFBA773E"/>
    <w:rsid w:val="BBB6D092"/>
    <w:rsid w:val="BF318BE2"/>
    <w:rsid w:val="CBDB4AD8"/>
    <w:rsid w:val="CF7C2F37"/>
    <w:rsid w:val="D79DE1B1"/>
    <w:rsid w:val="D7F50165"/>
    <w:rsid w:val="D7F5CBC2"/>
    <w:rsid w:val="DF1FB7B8"/>
    <w:rsid w:val="DFEA417F"/>
    <w:rsid w:val="EBEAFD1B"/>
    <w:rsid w:val="EFF7E3AF"/>
    <w:rsid w:val="EFFDB0AC"/>
    <w:rsid w:val="F37698C3"/>
    <w:rsid w:val="FBF7CDA8"/>
    <w:rsid w:val="FDE75C7E"/>
    <w:rsid w:val="FDE9E3A6"/>
    <w:rsid w:val="FDFFC0AC"/>
    <w:rsid w:val="FE779874"/>
    <w:rsid w:val="FEFFFF86"/>
    <w:rsid w:val="FF3E599D"/>
    <w:rsid w:val="FF969DA7"/>
    <w:rsid w:val="FFD547A0"/>
    <w:rsid w:val="FFDB4A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customStyle="1" w:styleId="7">
    <w:name w:val="Body text (2)"/>
    <w:basedOn w:val="1"/>
    <w:link w:val="9"/>
    <w:unhideWhenUsed/>
    <w:qFormat/>
    <w:uiPriority w:val="99"/>
    <w:pPr>
      <w:shd w:val="clear" w:color="auto" w:fill="FFFFFF"/>
      <w:spacing w:beforeLines="0" w:afterLines="0"/>
    </w:pPr>
    <w:rPr>
      <w:rFonts w:hint="default"/>
      <w:sz w:val="20"/>
    </w:rPr>
  </w:style>
  <w:style w:type="character" w:customStyle="1" w:styleId="8">
    <w:name w:val="Body text (2) + Liberation Serif"/>
    <w:basedOn w:val="9"/>
    <w:unhideWhenUsed/>
    <w:qFormat/>
    <w:uiPriority w:val="99"/>
    <w:rPr>
      <w:rFonts w:hint="default" w:ascii="Liberation Serif" w:hAnsi="Liberation Serif" w:eastAsia="Liberation Serif"/>
      <w:sz w:val="18"/>
    </w:rPr>
  </w:style>
  <w:style w:type="character" w:customStyle="1" w:styleId="9">
    <w:name w:val="Body text (2)_"/>
    <w:basedOn w:val="3"/>
    <w:link w:val="7"/>
    <w:unhideWhenUsed/>
    <w:uiPriority w:val="99"/>
    <w:rPr>
      <w:rFonts w:hint="default"/>
      <w:sz w:val="20"/>
    </w:rPr>
  </w:style>
  <w:style w:type="paragraph" w:customStyle="1" w:styleId="10">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1">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2017-04-15T22:42:00Z</dcterms:created>
  <dc:creator>human</dc:creator>
  <cp:lastModifiedBy>human</cp:lastModifiedBy>
  <dcterms:modified xsi:type="dcterms:W3CDTF">2017-04-20T19:44:41Z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