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t>Подъёмные сооружения</w:t>
      </w:r>
    </w:p>
    <w:p>
      <w:r>
        <w:rPr>
          <w:b/>
        </w:rPr>
        <w:t>2)Вид (метод) неразрушающего контроля</w:t>
      </w:r>
    </w:p>
    <w:p>
      <w:r>
        <w:t>Ультразвуковой (дефектоскопия, толщинометрия)</w:t>
      </w:r>
    </w:p>
    <w:p>
      <w:r>
        <w:t>Вихретоковый (только для подъемных сооружений)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Победы 123</w:t>
            </w:r>
          </w:p>
        </w:tc>
        <w:tc>
          <w:tcPr>
            <w:tcW w:type="dxa" w:w="2108"/>
          </w:tcPr>
          <w:p>
            <w:r>
              <w:t>Газопровод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  <w:tr>
        <w:tc>
          <w:tcPr>
            <w:tcW w:type="dxa" w:w="2108"/>
          </w:tcPr>
          <w:p>
            <w:r>
              <w:t>2</w:t>
            </w:r>
          </w:p>
        </w:tc>
        <w:tc>
          <w:tcPr>
            <w:tcW w:type="dxa" w:w="2108"/>
          </w:tcPr>
          <w:p>
            <w:r>
              <w:t>Мира 34</w:t>
            </w:r>
          </w:p>
        </w:tc>
        <w:tc>
          <w:tcPr>
            <w:tcW w:type="dxa" w:w="2108"/>
          </w:tcPr>
          <w:p>
            <w:r>
              <w:t>Грузоподъемный механизм</w:t>
            </w:r>
          </w:p>
        </w:tc>
        <w:tc>
          <w:tcPr>
            <w:tcW w:type="dxa" w:w="2108"/>
          </w:tcPr>
          <w:p>
            <w:r>
              <w:t>Тросы и  крюки</w:t>
            </w:r>
          </w:p>
        </w:tc>
        <w:tc>
          <w:tcPr>
            <w:tcW w:type="dxa" w:w="2108"/>
          </w:tcPr>
          <w:p>
            <w:r>
              <w:t>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ООО ИНЖЕНЕРНЫЙ-КОНСУЛЬТАЦИОННЫЙ ЦЕНТР ЗАПСИБ-ЭКСПЕРТИЗА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ДИРЕКТОР, Безденежных Алексей Геннадьевич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Кемеровская область - Кузбасс, г Новокузнецк, р-н Центральный, пр-кт Дружбы, д 58, пом 105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Кемеровская область - Кузбасс, г Новокузнецк, р-н Центральный, пр-кт Дружбы, д 58, пом 105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1234567890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СИБИРСКИЙ БАНК 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30101810500000000641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045004641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4217108712/421701001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1084217008061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Иванов Иван</w:t>
      </w: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