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Salesforce Certified Administrator Case Study 1</w:t>
      </w:r>
    </w:p>
    <w:p>
      <w:pPr>
        <w:jc w:val="center"/>
      </w:pPr>
      <w:r>
        <w:rPr>
          <w:b/>
          <w:color w:val="595959"/>
          <w:sz w:val="28"/>
        </w:rPr>
        <w:t>Complete Understanding Explanation</w:t>
      </w:r>
    </w:p>
    <w:p>
      <w:pPr>
        <w:jc w:val="center"/>
      </w:pPr>
      <w:r>
        <w:rPr>
          <w:b/>
          <w:sz w:val="26"/>
        </w:rPr>
        <w:t>Lead-to-Opportunity Governance for a B2B SaaS Company</w:t>
      </w:r>
    </w:p>
    <w:p>
      <w:pPr>
        <w:pStyle w:val="Heading1"/>
      </w:pPr>
      <w:r>
        <w:t>1. Case Study Overview</w:t>
      </w:r>
    </w:p>
    <w:p>
      <w:r>
        <w:t>This case study is based on a B2B SaaS company that sells software products to business customers. The company receives leads from website forms, marketing campaigns, referrals, emails, events, and direct sales calls. The current problem is that these leads are not handled in a controlled and measurable way. Some leads are not assigned on time, duplicate records are created, qualified leads are not converted properly, and managers do not get a clear view of the sales pipeline.</w:t>
      </w:r>
    </w:p>
    <w:p>
      <w:r>
        <w:t>The Salesforce Administrator has to configure a complete lead-to-opportunity governance solution. The solution should help the company capture leads, assign them to the right sales users, qualify them, prevent duplicate records, convert qualified leads into Account, Contact, and Opportunity records, route high-value opportunities for approval, and track performance using reports and dashboards.</w:t>
      </w:r>
    </w:p>
    <w:p>
      <w:r>
        <w:t>The focus of the case study is not only field creation. It is about understanding how a business sales problem is converted into a working Salesforce configuration with data quality, security, automation, approval control, testing, and go-live documentation.</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Area</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Explanation</w:t>
            </w:r>
          </w:p>
        </w:tc>
      </w:tr>
      <w:tr>
        <w:tc>
          <w:tcPr>
            <w:tcW w:type="dxa" w:w="5083"/>
            <w:vAlign w:val="top"/>
          </w:tcPr>
          <w:p>
            <w:pPr>
              <w:spacing w:after="0"/>
            </w:pPr>
            <w:r>
              <w:rPr>
                <w:rFonts w:ascii="Arial" w:hAnsi="Arial" w:eastAsia="Arial"/>
                <w:sz w:val="19"/>
              </w:rPr>
            </w:r>
            <w:r>
              <w:rPr>
                <w:rFonts w:ascii="Arial" w:hAnsi="Arial" w:eastAsia="Arial"/>
                <w:b w:val="0"/>
                <w:sz w:val="19"/>
              </w:rPr>
              <w:t>Industry / Project Theme</w:t>
            </w:r>
          </w:p>
        </w:tc>
        <w:tc>
          <w:tcPr>
            <w:tcW w:type="dxa" w:w="5083"/>
            <w:vAlign w:val="top"/>
          </w:tcPr>
          <w:p>
            <w:pPr>
              <w:spacing w:after="0"/>
            </w:pPr>
            <w:r>
              <w:rPr>
                <w:rFonts w:ascii="Arial" w:hAnsi="Arial" w:eastAsia="Arial"/>
                <w:sz w:val="19"/>
              </w:rPr>
            </w:r>
            <w:r>
              <w:rPr>
                <w:rFonts w:ascii="Arial" w:hAnsi="Arial" w:eastAsia="Arial"/>
                <w:b w:val="0"/>
                <w:sz w:val="19"/>
              </w:rPr>
              <w:t>B2B SaaS sales process management using Salesforce.</w:t>
            </w:r>
          </w:p>
        </w:tc>
      </w:tr>
      <w:tr>
        <w:tc>
          <w:tcPr>
            <w:tcW w:type="dxa" w:w="5083"/>
            <w:vAlign w:val="top"/>
          </w:tcPr>
          <w:p>
            <w:pPr>
              <w:spacing w:after="0"/>
            </w:pPr>
            <w:r>
              <w:rPr>
                <w:rFonts w:ascii="Arial" w:hAnsi="Arial" w:eastAsia="Arial"/>
                <w:sz w:val="19"/>
              </w:rPr>
            </w:r>
            <w:r>
              <w:rPr>
                <w:rFonts w:ascii="Arial" w:hAnsi="Arial" w:eastAsia="Arial"/>
                <w:b w:val="0"/>
                <w:sz w:val="19"/>
              </w:rPr>
              <w:t>Main Business Process</w:t>
            </w:r>
          </w:p>
        </w:tc>
        <w:tc>
          <w:tcPr>
            <w:tcW w:type="dxa" w:w="5083"/>
            <w:vAlign w:val="top"/>
          </w:tcPr>
          <w:p>
            <w:pPr>
              <w:spacing w:after="0"/>
            </w:pPr>
            <w:r>
              <w:rPr>
                <w:rFonts w:ascii="Arial" w:hAnsi="Arial" w:eastAsia="Arial"/>
                <w:sz w:val="19"/>
              </w:rPr>
            </w:r>
            <w:r>
              <w:rPr>
                <w:rFonts w:ascii="Arial" w:hAnsi="Arial" w:eastAsia="Arial"/>
                <w:b w:val="0"/>
                <w:sz w:val="19"/>
              </w:rPr>
              <w:t>Lead capture, lead assignment, lead qualification, duplicate prevention, lead conversion, opportunity tracking, approval, reporting, and dashboard monitoring.</w:t>
            </w:r>
          </w:p>
        </w:tc>
      </w:tr>
      <w:tr>
        <w:tc>
          <w:tcPr>
            <w:tcW w:type="dxa" w:w="5083"/>
            <w:vAlign w:val="top"/>
          </w:tcPr>
          <w:p>
            <w:pPr>
              <w:spacing w:after="0"/>
            </w:pPr>
            <w:r>
              <w:rPr>
                <w:rFonts w:ascii="Arial" w:hAnsi="Arial" w:eastAsia="Arial"/>
                <w:sz w:val="19"/>
              </w:rPr>
            </w:r>
            <w:r>
              <w:rPr>
                <w:rFonts w:ascii="Arial" w:hAnsi="Arial" w:eastAsia="Arial"/>
                <w:b w:val="0"/>
                <w:sz w:val="19"/>
              </w:rPr>
              <w:t>Primary Salesforce Objects</w:t>
            </w:r>
          </w:p>
        </w:tc>
        <w:tc>
          <w:tcPr>
            <w:tcW w:type="dxa" w:w="5083"/>
            <w:vAlign w:val="top"/>
          </w:tcPr>
          <w:p>
            <w:pPr>
              <w:spacing w:after="0"/>
            </w:pPr>
            <w:r>
              <w:rPr>
                <w:rFonts w:ascii="Arial" w:hAnsi="Arial" w:eastAsia="Arial"/>
                <w:sz w:val="19"/>
              </w:rPr>
            </w:r>
            <w:r>
              <w:rPr>
                <w:rFonts w:ascii="Arial" w:hAnsi="Arial" w:eastAsia="Arial"/>
                <w:b w:val="0"/>
                <w:sz w:val="19"/>
              </w:rPr>
              <w:t>Lead, Account, Contact, Opportunity, Task, User, Report, and Dashboard.</w:t>
            </w:r>
          </w:p>
        </w:tc>
      </w:tr>
      <w:tr>
        <w:tc>
          <w:tcPr>
            <w:tcW w:type="dxa" w:w="5083"/>
            <w:vAlign w:val="top"/>
          </w:tcPr>
          <w:p>
            <w:pPr>
              <w:spacing w:after="0"/>
            </w:pPr>
            <w:r>
              <w:rPr>
                <w:rFonts w:ascii="Arial" w:hAnsi="Arial" w:eastAsia="Arial"/>
                <w:sz w:val="19"/>
              </w:rPr>
            </w:r>
            <w:r>
              <w:rPr>
                <w:rFonts w:ascii="Arial" w:hAnsi="Arial" w:eastAsia="Arial"/>
                <w:b w:val="0"/>
                <w:sz w:val="19"/>
              </w:rPr>
              <w:t>Main Administrator Work</w:t>
            </w:r>
          </w:p>
        </w:tc>
        <w:tc>
          <w:tcPr>
            <w:tcW w:type="dxa" w:w="5083"/>
            <w:vAlign w:val="top"/>
          </w:tcPr>
          <w:p>
            <w:pPr>
              <w:spacing w:after="0"/>
            </w:pPr>
            <w:r>
              <w:rPr>
                <w:rFonts w:ascii="Arial" w:hAnsi="Arial" w:eastAsia="Arial"/>
                <w:sz w:val="19"/>
              </w:rPr>
            </w:r>
            <w:r>
              <w:rPr>
                <w:rFonts w:ascii="Arial" w:hAnsi="Arial" w:eastAsia="Arial"/>
                <w:b w:val="0"/>
                <w:sz w:val="19"/>
              </w:rPr>
              <w:t>Configuration, validation rules, assignment rules, duplicate rules, field-level security, approval process, Flow automation, reports, dashboards, testing, and documentation.</w:t>
            </w:r>
          </w:p>
        </w:tc>
      </w:tr>
      <w:tr>
        <w:tc>
          <w:tcPr>
            <w:tcW w:type="dxa" w:w="5083"/>
            <w:vAlign w:val="top"/>
          </w:tcPr>
          <w:p>
            <w:pPr>
              <w:spacing w:after="0"/>
            </w:pPr>
            <w:r>
              <w:rPr>
                <w:rFonts w:ascii="Arial" w:hAnsi="Arial" w:eastAsia="Arial"/>
                <w:sz w:val="19"/>
              </w:rPr>
            </w:r>
            <w:r>
              <w:rPr>
                <w:rFonts w:ascii="Arial" w:hAnsi="Arial" w:eastAsia="Arial"/>
                <w:b w:val="0"/>
                <w:sz w:val="19"/>
              </w:rPr>
              <w:t>Expected Output</w:t>
            </w:r>
          </w:p>
        </w:tc>
        <w:tc>
          <w:tcPr>
            <w:tcW w:type="dxa" w:w="5083"/>
            <w:vAlign w:val="top"/>
          </w:tcPr>
          <w:p>
            <w:pPr>
              <w:spacing w:after="0"/>
            </w:pPr>
            <w:r>
              <w:rPr>
                <w:rFonts w:ascii="Arial" w:hAnsi="Arial" w:eastAsia="Arial"/>
                <w:sz w:val="19"/>
              </w:rPr>
            </w:r>
            <w:r>
              <w:rPr>
                <w:rFonts w:ascii="Arial" w:hAnsi="Arial" w:eastAsia="Arial"/>
                <w:b w:val="0"/>
                <w:sz w:val="19"/>
              </w:rPr>
              <w:t>A production-style Salesforce Admin solution with implementation evidence and clear business explanation.</w:t>
            </w:r>
          </w:p>
        </w:tc>
      </w:tr>
    </w:tbl>
    <w:p/>
    <w:p>
      <w:pPr>
        <w:pStyle w:val="Heading1"/>
      </w:pPr>
      <w:r>
        <w:t>2. Industry / Project Theme</w:t>
      </w:r>
    </w:p>
    <w:p>
      <w:r>
        <w:t>The theme of this case study is lead-to-opportunity governance for a B2B SaaS company. A B2B SaaS company sells subscription-based software products to other businesses. Its sales process usually begins with a lead and continues until the lead becomes a business opportunity. If the opportunity is successful, it becomes a closed-won deal.</w:t>
      </w:r>
    </w:p>
    <w:p>
      <w:r>
        <w:t>Because SaaS companies handle many customer enquiries from multiple sources, the sales process must be organized. Salesforce is used as the CRM platform to store lead details, track communication, assign responsibility, maintain follow-up discipline, control high-value deals, and provide management-level visibility.</w:t>
      </w:r>
    </w:p>
    <w:p>
      <w:r>
        <w:t>In this case study, the Salesforce Administrator works as the person responsible for configuring the CRM system so the sales team can work in a structured way. The administrator must make sure the system is easy to use, secure, automated where required, and ready for reporting.</w:t>
      </w:r>
    </w:p>
    <w:p>
      <w:pPr>
        <w:pStyle w:val="Heading1"/>
      </w:pPr>
      <w:r>
        <w:t>3. Business Problem Statement</w:t>
      </w:r>
    </w:p>
    <w:p>
      <w:r>
        <w:t>The company receives many leads every day, but the existing process is not reliable. Leads are created from different sources, and sometimes the same customer is entered more than once. Sales users may not know which lead they should handle. Managers may not know how many leads are active, how many were converted, and how much revenue is available in the pipeline.</w:t>
      </w:r>
    </w:p>
    <w:p>
      <w:r>
        <w:t>The company wants Salesforce to manage the complete sales process in a controlled manner. The system should be able to assign leads automatically, apply validation rules to avoid incomplete data, prevent duplicates, convert qualified leads into opportunities, and ensure manager approval for high-value opportunities.</w:t>
      </w:r>
    </w:p>
    <w:p>
      <w:r>
        <w:t>The system should also support data security. Users should see only the records and fields relevant to their work. Sensitive fields such as estimated budget, approval status, and deal value should be controlled through profiles, roles, permission sets, and field-level security.</w:t>
      </w:r>
    </w:p>
    <w:p>
      <w:r>
        <w:t>The final solution should include reports and dashboards so managers can monitor lead conversion time, pending approvals, opportunity stages, duplicate rates, sales performance, and data accuracy.</w:t>
      </w:r>
    </w:p>
    <w:p>
      <w:pPr>
        <w:pStyle w:val="Heading1"/>
      </w:pPr>
      <w:r>
        <w:t>4. Main Challenges Faced by the Company</w:t>
      </w:r>
    </w:p>
    <w:p>
      <w:pPr>
        <w:pStyle w:val="ListBullet"/>
      </w:pPr>
      <w:r>
        <w:t>Leads are received from multiple sources, but there is no consistent tracking process.</w:t>
      </w:r>
    </w:p>
    <w:p>
      <w:pPr>
        <w:pStyle w:val="ListBullet"/>
      </w:pPr>
      <w:r>
        <w:t>Lead assignment is delayed or manually handled, which increases response time.</w:t>
      </w:r>
    </w:p>
    <w:p>
      <w:pPr>
        <w:pStyle w:val="ListBullet"/>
      </w:pPr>
      <w:r>
        <w:t>Duplicate leads are created when the same customer contacts through different channels.</w:t>
      </w:r>
    </w:p>
    <w:p>
      <w:pPr>
        <w:pStyle w:val="ListBullet"/>
      </w:pPr>
      <w:r>
        <w:t>Qualified leads are not always converted into Account, Contact, and Opportunity records.</w:t>
      </w:r>
    </w:p>
    <w:p>
      <w:pPr>
        <w:pStyle w:val="ListBullet"/>
      </w:pPr>
      <w:r>
        <w:t>High-value opportunities may move forward without proper manager approval.</w:t>
      </w:r>
    </w:p>
    <w:p>
      <w:pPr>
        <w:pStyle w:val="ListBullet"/>
      </w:pPr>
      <w:r>
        <w:t>Sales managers do not get accurate real-time visibility of the sales pipeline.</w:t>
      </w:r>
    </w:p>
    <w:p>
      <w:pPr>
        <w:pStyle w:val="ListBullet"/>
      </w:pPr>
      <w:r>
        <w:t>Incomplete lead data affects report accuracy and business decision-making.</w:t>
      </w:r>
    </w:p>
    <w:p>
      <w:pPr>
        <w:pStyle w:val="ListBullet"/>
      </w:pPr>
      <w:r>
        <w:t>Follow-up dates and sales tasks are not consistently tracked.</w:t>
      </w:r>
    </w:p>
    <w:p>
      <w:pPr>
        <w:pStyle w:val="ListBullet"/>
      </w:pPr>
      <w:r>
        <w:t>Sensitive sales information is visible to users who do not require it.</w:t>
      </w:r>
    </w:p>
    <w:p>
      <w:pPr>
        <w:pStyle w:val="ListBullet"/>
      </w:pPr>
      <w:r>
        <w:t>There is no proper evidence pack for testing, deployment, and handover.</w:t>
      </w:r>
    </w:p>
    <w:p>
      <w:pPr>
        <w:pStyle w:val="Heading1"/>
      </w:pPr>
      <w:r>
        <w:t>5. Salesforce Objects Used in the Case Study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Salesforce Object</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Meaning in This Case Study</w:t>
            </w:r>
          </w:p>
        </w:tc>
      </w:tr>
      <w:tr>
        <w:tc>
          <w:tcPr>
            <w:tcW w:type="dxa" w:w="5083"/>
            <w:vAlign w:val="top"/>
          </w:tcPr>
          <w:p>
            <w:pPr>
              <w:spacing w:after="0"/>
            </w:pPr>
            <w:r>
              <w:rPr>
                <w:rFonts w:ascii="Arial" w:hAnsi="Arial" w:eastAsia="Arial"/>
                <w:sz w:val="19"/>
              </w:rPr>
            </w:r>
            <w:r>
              <w:rPr>
                <w:rFonts w:ascii="Arial" w:hAnsi="Arial" w:eastAsia="Arial"/>
                <w:b w:val="0"/>
                <w:sz w:val="19"/>
              </w:rPr>
              <w:t>Lead</w:t>
            </w:r>
          </w:p>
        </w:tc>
        <w:tc>
          <w:tcPr>
            <w:tcW w:type="dxa" w:w="5083"/>
            <w:vAlign w:val="top"/>
          </w:tcPr>
          <w:p>
            <w:pPr>
              <w:spacing w:after="0"/>
            </w:pPr>
            <w:r>
              <w:rPr>
                <w:rFonts w:ascii="Arial" w:hAnsi="Arial" w:eastAsia="Arial"/>
                <w:sz w:val="19"/>
              </w:rPr>
            </w:r>
            <w:r>
              <w:rPr>
                <w:rFonts w:ascii="Arial" w:hAnsi="Arial" w:eastAsia="Arial"/>
                <w:b w:val="0"/>
                <w:sz w:val="19"/>
              </w:rPr>
              <w:t>A possible customer who has shown interest but is not yet fully qualified.</w:t>
            </w:r>
          </w:p>
        </w:tc>
      </w:tr>
      <w:tr>
        <w:tc>
          <w:tcPr>
            <w:tcW w:type="dxa" w:w="5083"/>
            <w:vAlign w:val="top"/>
          </w:tcPr>
          <w:p>
            <w:pPr>
              <w:spacing w:after="0"/>
            </w:pPr>
            <w:r>
              <w:rPr>
                <w:rFonts w:ascii="Arial" w:hAnsi="Arial" w:eastAsia="Arial"/>
                <w:sz w:val="19"/>
              </w:rPr>
            </w:r>
            <w:r>
              <w:rPr>
                <w:rFonts w:ascii="Arial" w:hAnsi="Arial" w:eastAsia="Arial"/>
                <w:b w:val="0"/>
                <w:sz w:val="19"/>
              </w:rPr>
              <w:t>Account</w:t>
            </w:r>
          </w:p>
        </w:tc>
        <w:tc>
          <w:tcPr>
            <w:tcW w:type="dxa" w:w="5083"/>
            <w:vAlign w:val="top"/>
          </w:tcPr>
          <w:p>
            <w:pPr>
              <w:spacing w:after="0"/>
            </w:pPr>
            <w:r>
              <w:rPr>
                <w:rFonts w:ascii="Arial" w:hAnsi="Arial" w:eastAsia="Arial"/>
                <w:sz w:val="19"/>
              </w:rPr>
            </w:r>
            <w:r>
              <w:rPr>
                <w:rFonts w:ascii="Arial" w:hAnsi="Arial" w:eastAsia="Arial"/>
                <w:b w:val="0"/>
                <w:sz w:val="19"/>
              </w:rPr>
              <w:t>The company or organization created after a qualified lead is converted.</w:t>
            </w:r>
          </w:p>
        </w:tc>
      </w:tr>
      <w:tr>
        <w:tc>
          <w:tcPr>
            <w:tcW w:type="dxa" w:w="5083"/>
            <w:vAlign w:val="top"/>
          </w:tcPr>
          <w:p>
            <w:pPr>
              <w:spacing w:after="0"/>
            </w:pPr>
            <w:r>
              <w:rPr>
                <w:rFonts w:ascii="Arial" w:hAnsi="Arial" w:eastAsia="Arial"/>
                <w:sz w:val="19"/>
              </w:rPr>
            </w:r>
            <w:r>
              <w:rPr>
                <w:rFonts w:ascii="Arial" w:hAnsi="Arial" w:eastAsia="Arial"/>
                <w:b w:val="0"/>
                <w:sz w:val="19"/>
              </w:rPr>
              <w:t>Contact</w:t>
            </w:r>
          </w:p>
        </w:tc>
        <w:tc>
          <w:tcPr>
            <w:tcW w:type="dxa" w:w="5083"/>
            <w:vAlign w:val="top"/>
          </w:tcPr>
          <w:p>
            <w:pPr>
              <w:spacing w:after="0"/>
            </w:pPr>
            <w:r>
              <w:rPr>
                <w:rFonts w:ascii="Arial" w:hAnsi="Arial" w:eastAsia="Arial"/>
                <w:sz w:val="19"/>
              </w:rPr>
            </w:r>
            <w:r>
              <w:rPr>
                <w:rFonts w:ascii="Arial" w:hAnsi="Arial" w:eastAsia="Arial"/>
                <w:b w:val="0"/>
                <w:sz w:val="19"/>
              </w:rPr>
              <w:t>The person from the customer company created after lead conversion.</w:t>
            </w:r>
          </w:p>
        </w:tc>
      </w:tr>
      <w:tr>
        <w:tc>
          <w:tcPr>
            <w:tcW w:type="dxa" w:w="5083"/>
            <w:vAlign w:val="top"/>
          </w:tcPr>
          <w:p>
            <w:pPr>
              <w:spacing w:after="0"/>
            </w:pPr>
            <w:r>
              <w:rPr>
                <w:rFonts w:ascii="Arial" w:hAnsi="Arial" w:eastAsia="Arial"/>
                <w:sz w:val="19"/>
              </w:rPr>
            </w:r>
            <w:r>
              <w:rPr>
                <w:rFonts w:ascii="Arial" w:hAnsi="Arial" w:eastAsia="Arial"/>
                <w:b w:val="0"/>
                <w:sz w:val="19"/>
              </w:rPr>
              <w:t>Opportunity</w:t>
            </w:r>
          </w:p>
        </w:tc>
        <w:tc>
          <w:tcPr>
            <w:tcW w:type="dxa" w:w="5083"/>
            <w:vAlign w:val="top"/>
          </w:tcPr>
          <w:p>
            <w:pPr>
              <w:spacing w:after="0"/>
            </w:pPr>
            <w:r>
              <w:rPr>
                <w:rFonts w:ascii="Arial" w:hAnsi="Arial" w:eastAsia="Arial"/>
                <w:sz w:val="19"/>
              </w:rPr>
            </w:r>
            <w:r>
              <w:rPr>
                <w:rFonts w:ascii="Arial" w:hAnsi="Arial" w:eastAsia="Arial"/>
                <w:b w:val="0"/>
                <w:sz w:val="19"/>
              </w:rPr>
              <w:t>The possible business deal created after lead conversion.</w:t>
            </w:r>
          </w:p>
        </w:tc>
      </w:tr>
      <w:tr>
        <w:tc>
          <w:tcPr>
            <w:tcW w:type="dxa" w:w="5083"/>
            <w:vAlign w:val="top"/>
          </w:tcPr>
          <w:p>
            <w:pPr>
              <w:spacing w:after="0"/>
            </w:pPr>
            <w:r>
              <w:rPr>
                <w:rFonts w:ascii="Arial" w:hAnsi="Arial" w:eastAsia="Arial"/>
                <w:sz w:val="19"/>
              </w:rPr>
            </w:r>
            <w:r>
              <w:rPr>
                <w:rFonts w:ascii="Arial" w:hAnsi="Arial" w:eastAsia="Arial"/>
                <w:b w:val="0"/>
                <w:sz w:val="19"/>
              </w:rPr>
              <w:t>Task</w:t>
            </w:r>
          </w:p>
        </w:tc>
        <w:tc>
          <w:tcPr>
            <w:tcW w:type="dxa" w:w="5083"/>
            <w:vAlign w:val="top"/>
          </w:tcPr>
          <w:p>
            <w:pPr>
              <w:spacing w:after="0"/>
            </w:pPr>
            <w:r>
              <w:rPr>
                <w:rFonts w:ascii="Arial" w:hAnsi="Arial" w:eastAsia="Arial"/>
                <w:sz w:val="19"/>
              </w:rPr>
            </w:r>
            <w:r>
              <w:rPr>
                <w:rFonts w:ascii="Arial" w:hAnsi="Arial" w:eastAsia="Arial"/>
                <w:b w:val="0"/>
                <w:sz w:val="19"/>
              </w:rPr>
              <w:t>A follow-up activity assigned to a sales user.</w:t>
            </w:r>
          </w:p>
        </w:tc>
      </w:tr>
      <w:tr>
        <w:tc>
          <w:tcPr>
            <w:tcW w:type="dxa" w:w="5083"/>
            <w:vAlign w:val="top"/>
          </w:tcPr>
          <w:p>
            <w:pPr>
              <w:spacing w:after="0"/>
            </w:pPr>
            <w:r>
              <w:rPr>
                <w:rFonts w:ascii="Arial" w:hAnsi="Arial" w:eastAsia="Arial"/>
                <w:sz w:val="19"/>
              </w:rPr>
            </w:r>
            <w:r>
              <w:rPr>
                <w:rFonts w:ascii="Arial" w:hAnsi="Arial" w:eastAsia="Arial"/>
                <w:b w:val="0"/>
                <w:sz w:val="19"/>
              </w:rPr>
              <w:t>User</w:t>
            </w:r>
          </w:p>
        </w:tc>
        <w:tc>
          <w:tcPr>
            <w:tcW w:type="dxa" w:w="5083"/>
            <w:vAlign w:val="top"/>
          </w:tcPr>
          <w:p>
            <w:pPr>
              <w:spacing w:after="0"/>
            </w:pPr>
            <w:r>
              <w:rPr>
                <w:rFonts w:ascii="Arial" w:hAnsi="Arial" w:eastAsia="Arial"/>
                <w:sz w:val="19"/>
              </w:rPr>
            </w:r>
            <w:r>
              <w:rPr>
                <w:rFonts w:ascii="Arial" w:hAnsi="Arial" w:eastAsia="Arial"/>
                <w:b w:val="0"/>
                <w:sz w:val="19"/>
              </w:rPr>
              <w:t>An employee who uses Salesforce, such as sales executive, sales manager, or admin.</w:t>
            </w:r>
          </w:p>
        </w:tc>
      </w:tr>
      <w:tr>
        <w:tc>
          <w:tcPr>
            <w:tcW w:type="dxa" w:w="5083"/>
            <w:vAlign w:val="top"/>
          </w:tcPr>
          <w:p>
            <w:pPr>
              <w:spacing w:after="0"/>
            </w:pPr>
            <w:r>
              <w:rPr>
                <w:rFonts w:ascii="Arial" w:hAnsi="Arial" w:eastAsia="Arial"/>
                <w:sz w:val="19"/>
              </w:rPr>
            </w:r>
            <w:r>
              <w:rPr>
                <w:rFonts w:ascii="Arial" w:hAnsi="Arial" w:eastAsia="Arial"/>
                <w:b w:val="0"/>
                <w:sz w:val="19"/>
              </w:rPr>
              <w:t>Profile</w:t>
            </w:r>
          </w:p>
        </w:tc>
        <w:tc>
          <w:tcPr>
            <w:tcW w:type="dxa" w:w="5083"/>
            <w:vAlign w:val="top"/>
          </w:tcPr>
          <w:p>
            <w:pPr>
              <w:spacing w:after="0"/>
            </w:pPr>
            <w:r>
              <w:rPr>
                <w:rFonts w:ascii="Arial" w:hAnsi="Arial" w:eastAsia="Arial"/>
                <w:sz w:val="19"/>
              </w:rPr>
            </w:r>
            <w:r>
              <w:rPr>
                <w:rFonts w:ascii="Arial" w:hAnsi="Arial" w:eastAsia="Arial"/>
                <w:b w:val="0"/>
                <w:sz w:val="19"/>
              </w:rPr>
              <w:t>Controls what object-level permissions a user has.</w:t>
            </w:r>
          </w:p>
        </w:tc>
      </w:tr>
      <w:tr>
        <w:tc>
          <w:tcPr>
            <w:tcW w:type="dxa" w:w="5083"/>
            <w:vAlign w:val="top"/>
          </w:tcPr>
          <w:p>
            <w:pPr>
              <w:spacing w:after="0"/>
            </w:pPr>
            <w:r>
              <w:rPr>
                <w:rFonts w:ascii="Arial" w:hAnsi="Arial" w:eastAsia="Arial"/>
                <w:sz w:val="19"/>
              </w:rPr>
            </w:r>
            <w:r>
              <w:rPr>
                <w:rFonts w:ascii="Arial" w:hAnsi="Arial" w:eastAsia="Arial"/>
                <w:b w:val="0"/>
                <w:sz w:val="19"/>
              </w:rPr>
              <w:t>Role</w:t>
            </w:r>
          </w:p>
        </w:tc>
        <w:tc>
          <w:tcPr>
            <w:tcW w:type="dxa" w:w="5083"/>
            <w:vAlign w:val="top"/>
          </w:tcPr>
          <w:p>
            <w:pPr>
              <w:spacing w:after="0"/>
            </w:pPr>
            <w:r>
              <w:rPr>
                <w:rFonts w:ascii="Arial" w:hAnsi="Arial" w:eastAsia="Arial"/>
                <w:sz w:val="19"/>
              </w:rPr>
            </w:r>
            <w:r>
              <w:rPr>
                <w:rFonts w:ascii="Arial" w:hAnsi="Arial" w:eastAsia="Arial"/>
                <w:b w:val="0"/>
                <w:sz w:val="19"/>
              </w:rPr>
              <w:t>Controls record visibility through the hierarchy.</w:t>
            </w:r>
          </w:p>
        </w:tc>
      </w:tr>
      <w:tr>
        <w:tc>
          <w:tcPr>
            <w:tcW w:type="dxa" w:w="5083"/>
            <w:vAlign w:val="top"/>
          </w:tcPr>
          <w:p>
            <w:pPr>
              <w:spacing w:after="0"/>
            </w:pPr>
            <w:r>
              <w:rPr>
                <w:rFonts w:ascii="Arial" w:hAnsi="Arial" w:eastAsia="Arial"/>
                <w:sz w:val="19"/>
              </w:rPr>
            </w:r>
            <w:r>
              <w:rPr>
                <w:rFonts w:ascii="Arial" w:hAnsi="Arial" w:eastAsia="Arial"/>
                <w:b w:val="0"/>
                <w:sz w:val="19"/>
              </w:rPr>
              <w:t>Permission Set</w:t>
            </w:r>
          </w:p>
        </w:tc>
        <w:tc>
          <w:tcPr>
            <w:tcW w:type="dxa" w:w="5083"/>
            <w:vAlign w:val="top"/>
          </w:tcPr>
          <w:p>
            <w:pPr>
              <w:spacing w:after="0"/>
            </w:pPr>
            <w:r>
              <w:rPr>
                <w:rFonts w:ascii="Arial" w:hAnsi="Arial" w:eastAsia="Arial"/>
                <w:sz w:val="19"/>
              </w:rPr>
            </w:r>
            <w:r>
              <w:rPr>
                <w:rFonts w:ascii="Arial" w:hAnsi="Arial" w:eastAsia="Arial"/>
                <w:b w:val="0"/>
                <w:sz w:val="19"/>
              </w:rPr>
              <w:t>Gives extra access without changing the base profile.</w:t>
            </w:r>
          </w:p>
        </w:tc>
      </w:tr>
      <w:tr>
        <w:tc>
          <w:tcPr>
            <w:tcW w:type="dxa" w:w="5083"/>
            <w:vAlign w:val="top"/>
          </w:tcPr>
          <w:p>
            <w:pPr>
              <w:spacing w:after="0"/>
            </w:pPr>
            <w:r>
              <w:rPr>
                <w:rFonts w:ascii="Arial" w:hAnsi="Arial" w:eastAsia="Arial"/>
                <w:sz w:val="19"/>
              </w:rPr>
            </w:r>
            <w:r>
              <w:rPr>
                <w:rFonts w:ascii="Arial" w:hAnsi="Arial" w:eastAsia="Arial"/>
                <w:b w:val="0"/>
                <w:sz w:val="19"/>
              </w:rPr>
              <w:t>Report</w:t>
            </w:r>
          </w:p>
        </w:tc>
        <w:tc>
          <w:tcPr>
            <w:tcW w:type="dxa" w:w="5083"/>
            <w:vAlign w:val="top"/>
          </w:tcPr>
          <w:p>
            <w:pPr>
              <w:spacing w:after="0"/>
            </w:pPr>
            <w:r>
              <w:rPr>
                <w:rFonts w:ascii="Arial" w:hAnsi="Arial" w:eastAsia="Arial"/>
                <w:sz w:val="19"/>
              </w:rPr>
            </w:r>
            <w:r>
              <w:rPr>
                <w:rFonts w:ascii="Arial" w:hAnsi="Arial" w:eastAsia="Arial"/>
                <w:b w:val="0"/>
                <w:sz w:val="19"/>
              </w:rPr>
              <w:t>Shows filtered business data in a structured format.</w:t>
            </w:r>
          </w:p>
        </w:tc>
      </w:tr>
      <w:tr>
        <w:tc>
          <w:tcPr>
            <w:tcW w:type="dxa" w:w="5083"/>
            <w:vAlign w:val="top"/>
          </w:tcPr>
          <w:p>
            <w:pPr>
              <w:spacing w:after="0"/>
            </w:pPr>
            <w:r>
              <w:rPr>
                <w:rFonts w:ascii="Arial" w:hAnsi="Arial" w:eastAsia="Arial"/>
                <w:sz w:val="19"/>
              </w:rPr>
            </w:r>
            <w:r>
              <w:rPr>
                <w:rFonts w:ascii="Arial" w:hAnsi="Arial" w:eastAsia="Arial"/>
                <w:b w:val="0"/>
                <w:sz w:val="19"/>
              </w:rPr>
              <w:t>Dashboard</w:t>
            </w:r>
          </w:p>
        </w:tc>
        <w:tc>
          <w:tcPr>
            <w:tcW w:type="dxa" w:w="5083"/>
            <w:vAlign w:val="top"/>
          </w:tcPr>
          <w:p>
            <w:pPr>
              <w:spacing w:after="0"/>
            </w:pPr>
            <w:r>
              <w:rPr>
                <w:rFonts w:ascii="Arial" w:hAnsi="Arial" w:eastAsia="Arial"/>
                <w:sz w:val="19"/>
              </w:rPr>
            </w:r>
            <w:r>
              <w:rPr>
                <w:rFonts w:ascii="Arial" w:hAnsi="Arial" w:eastAsia="Arial"/>
                <w:b w:val="0"/>
                <w:sz w:val="19"/>
              </w:rPr>
              <w:t>Shows visual summaries of reports for quick management review.</w:t>
            </w:r>
          </w:p>
        </w:tc>
      </w:tr>
    </w:tbl>
    <w:p/>
    <w:p>
      <w:pPr>
        <w:pStyle w:val="Heading1"/>
      </w:pPr>
      <w:r>
        <w:t>6. Complete Business Flow</w:t>
      </w:r>
    </w:p>
    <w:p>
      <w:r>
        <w:t>The complete flow of the case study is given below:</w:t>
      </w:r>
    </w:p>
    <w:p>
      <w:pPr>
        <w:pStyle w:val="ListNumber"/>
      </w:pPr>
      <w:r>
        <w:t>A new lead is created when a customer shows interest in the SaaS product.</w:t>
      </w:r>
    </w:p>
    <w:p>
      <w:pPr>
        <w:pStyle w:val="ListNumber"/>
      </w:pPr>
      <w:r>
        <w:t>The lead is assigned to the correct sales user based on product interest, region, or company size.</w:t>
      </w:r>
    </w:p>
    <w:p>
      <w:pPr>
        <w:pStyle w:val="ListNumber"/>
      </w:pPr>
      <w:r>
        <w:t>The sales user contacts the lead and updates follow-up details.</w:t>
      </w:r>
    </w:p>
    <w:p>
      <w:pPr>
        <w:pStyle w:val="ListNumber"/>
      </w:pPr>
      <w:r>
        <w:t>Salesforce checks whether the same lead already exists to avoid duplicate records.</w:t>
      </w:r>
    </w:p>
    <w:p>
      <w:pPr>
        <w:pStyle w:val="ListNumber"/>
      </w:pPr>
      <w:r>
        <w:t>The lead is qualified only when required information such as budget and product interest is available.</w:t>
      </w:r>
    </w:p>
    <w:p>
      <w:pPr>
        <w:pStyle w:val="ListNumber"/>
      </w:pPr>
      <w:r>
        <w:t>The qualified lead is converted into Account, Contact, and Opportunity.</w:t>
      </w:r>
    </w:p>
    <w:p>
      <w:pPr>
        <w:pStyle w:val="ListNumber"/>
      </w:pPr>
      <w:r>
        <w:t>The opportunity is tracked through sales stages such as Prospecting, Proposal, Negotiation, Closed Won, and Closed Lost.</w:t>
      </w:r>
    </w:p>
    <w:p>
      <w:pPr>
        <w:pStyle w:val="ListNumber"/>
      </w:pPr>
      <w:r>
        <w:t>High-value opportunities are submitted for manager approval.</w:t>
      </w:r>
    </w:p>
    <w:p>
      <w:pPr>
        <w:pStyle w:val="ListNumber"/>
      </w:pPr>
      <w:r>
        <w:t>Flow automation creates follow-up tasks and reminders where needed.</w:t>
      </w:r>
    </w:p>
    <w:p>
      <w:pPr>
        <w:pStyle w:val="ListNumber"/>
      </w:pPr>
      <w:r>
        <w:t>Reports and dashboards are used to monitor conversion, pipeline, approval, and performance.</w:t>
      </w:r>
    </w:p>
    <w:p>
      <w:pPr>
        <w:pStyle w:val="Heading1"/>
      </w:pPr>
      <w:r>
        <w:t>7. Lead Creation Explanation</w:t>
      </w:r>
    </w:p>
    <w:p>
      <w:r>
        <w:t>A lead is the starting point of the sales process. When a person or company shows interest in the product, their details are entered as a lead. At this stage, the company does not yet know whether the customer has real buying potential.</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Sample Lead Field</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Example Value</w:t>
            </w:r>
          </w:p>
        </w:tc>
      </w:tr>
      <w:tr>
        <w:tc>
          <w:tcPr>
            <w:tcW w:type="dxa" w:w="5083"/>
            <w:vAlign w:val="top"/>
          </w:tcPr>
          <w:p>
            <w:pPr>
              <w:spacing w:after="0"/>
            </w:pPr>
            <w:r>
              <w:rPr>
                <w:rFonts w:ascii="Arial" w:hAnsi="Arial" w:eastAsia="Arial"/>
                <w:sz w:val="19"/>
              </w:rPr>
            </w:r>
            <w:r>
              <w:rPr>
                <w:rFonts w:ascii="Arial" w:hAnsi="Arial" w:eastAsia="Arial"/>
                <w:b w:val="0"/>
                <w:sz w:val="19"/>
              </w:rPr>
              <w:t>Lead Name</w:t>
            </w:r>
          </w:p>
        </w:tc>
        <w:tc>
          <w:tcPr>
            <w:tcW w:type="dxa" w:w="5083"/>
            <w:vAlign w:val="top"/>
          </w:tcPr>
          <w:p>
            <w:pPr>
              <w:spacing w:after="0"/>
            </w:pPr>
            <w:r>
              <w:rPr>
                <w:rFonts w:ascii="Arial" w:hAnsi="Arial" w:eastAsia="Arial"/>
                <w:sz w:val="19"/>
              </w:rPr>
            </w:r>
            <w:r>
              <w:rPr>
                <w:rFonts w:ascii="Arial" w:hAnsi="Arial" w:eastAsia="Arial"/>
                <w:b w:val="0"/>
                <w:sz w:val="19"/>
              </w:rPr>
              <w:t>Ravi Kumar</w:t>
            </w:r>
          </w:p>
        </w:tc>
      </w:tr>
      <w:tr>
        <w:tc>
          <w:tcPr>
            <w:tcW w:type="dxa" w:w="5083"/>
            <w:vAlign w:val="top"/>
          </w:tcPr>
          <w:p>
            <w:pPr>
              <w:spacing w:after="0"/>
            </w:pPr>
            <w:r>
              <w:rPr>
                <w:rFonts w:ascii="Arial" w:hAnsi="Arial" w:eastAsia="Arial"/>
                <w:sz w:val="19"/>
              </w:rPr>
            </w:r>
            <w:r>
              <w:rPr>
                <w:rFonts w:ascii="Arial" w:hAnsi="Arial" w:eastAsia="Arial"/>
                <w:b w:val="0"/>
                <w:sz w:val="19"/>
              </w:rPr>
              <w:t>Company</w:t>
            </w:r>
          </w:p>
        </w:tc>
        <w:tc>
          <w:tcPr>
            <w:tcW w:type="dxa" w:w="5083"/>
            <w:vAlign w:val="top"/>
          </w:tcPr>
          <w:p>
            <w:pPr>
              <w:spacing w:after="0"/>
            </w:pPr>
            <w:r>
              <w:rPr>
                <w:rFonts w:ascii="Arial" w:hAnsi="Arial" w:eastAsia="Arial"/>
                <w:sz w:val="19"/>
              </w:rPr>
            </w:r>
            <w:r>
              <w:rPr>
                <w:rFonts w:ascii="Arial" w:hAnsi="Arial" w:eastAsia="Arial"/>
                <w:b w:val="0"/>
                <w:sz w:val="19"/>
              </w:rPr>
              <w:t>ABC Technologies</w:t>
            </w:r>
          </w:p>
        </w:tc>
      </w:tr>
      <w:tr>
        <w:tc>
          <w:tcPr>
            <w:tcW w:type="dxa" w:w="5083"/>
            <w:vAlign w:val="top"/>
          </w:tcPr>
          <w:p>
            <w:pPr>
              <w:spacing w:after="0"/>
            </w:pPr>
            <w:r>
              <w:rPr>
                <w:rFonts w:ascii="Arial" w:hAnsi="Arial" w:eastAsia="Arial"/>
                <w:sz w:val="19"/>
              </w:rPr>
            </w:r>
            <w:r>
              <w:rPr>
                <w:rFonts w:ascii="Arial" w:hAnsi="Arial" w:eastAsia="Arial"/>
                <w:b w:val="0"/>
                <w:sz w:val="19"/>
              </w:rPr>
              <w:t>Lead Source</w:t>
            </w:r>
          </w:p>
        </w:tc>
        <w:tc>
          <w:tcPr>
            <w:tcW w:type="dxa" w:w="5083"/>
            <w:vAlign w:val="top"/>
          </w:tcPr>
          <w:p>
            <w:pPr>
              <w:spacing w:after="0"/>
            </w:pPr>
            <w:r>
              <w:rPr>
                <w:rFonts w:ascii="Arial" w:hAnsi="Arial" w:eastAsia="Arial"/>
                <w:sz w:val="19"/>
              </w:rPr>
            </w:r>
            <w:r>
              <w:rPr>
                <w:rFonts w:ascii="Arial" w:hAnsi="Arial" w:eastAsia="Arial"/>
                <w:b w:val="0"/>
                <w:sz w:val="19"/>
              </w:rPr>
              <w:t>Website</w:t>
            </w:r>
          </w:p>
        </w:tc>
      </w:tr>
      <w:tr>
        <w:tc>
          <w:tcPr>
            <w:tcW w:type="dxa" w:w="5083"/>
            <w:vAlign w:val="top"/>
          </w:tcPr>
          <w:p>
            <w:pPr>
              <w:spacing w:after="0"/>
            </w:pPr>
            <w:r>
              <w:rPr>
                <w:rFonts w:ascii="Arial" w:hAnsi="Arial" w:eastAsia="Arial"/>
                <w:sz w:val="19"/>
              </w:rPr>
            </w:r>
            <w:r>
              <w:rPr>
                <w:rFonts w:ascii="Arial" w:hAnsi="Arial" w:eastAsia="Arial"/>
                <w:b w:val="0"/>
                <w:sz w:val="19"/>
              </w:rPr>
              <w:t>Product Interest</w:t>
            </w:r>
          </w:p>
        </w:tc>
        <w:tc>
          <w:tcPr>
            <w:tcW w:type="dxa" w:w="5083"/>
            <w:vAlign w:val="top"/>
          </w:tcPr>
          <w:p>
            <w:pPr>
              <w:spacing w:after="0"/>
            </w:pPr>
            <w:r>
              <w:rPr>
                <w:rFonts w:ascii="Arial" w:hAnsi="Arial" w:eastAsia="Arial"/>
                <w:sz w:val="19"/>
              </w:rPr>
            </w:r>
            <w:r>
              <w:rPr>
                <w:rFonts w:ascii="Arial" w:hAnsi="Arial" w:eastAsia="Arial"/>
                <w:b w:val="0"/>
                <w:sz w:val="19"/>
              </w:rPr>
              <w:t>CRM</w:t>
            </w:r>
          </w:p>
        </w:tc>
      </w:tr>
      <w:tr>
        <w:tc>
          <w:tcPr>
            <w:tcW w:type="dxa" w:w="5083"/>
            <w:vAlign w:val="top"/>
          </w:tcPr>
          <w:p>
            <w:pPr>
              <w:spacing w:after="0"/>
            </w:pPr>
            <w:r>
              <w:rPr>
                <w:rFonts w:ascii="Arial" w:hAnsi="Arial" w:eastAsia="Arial"/>
                <w:sz w:val="19"/>
              </w:rPr>
            </w:r>
            <w:r>
              <w:rPr>
                <w:rFonts w:ascii="Arial" w:hAnsi="Arial" w:eastAsia="Arial"/>
                <w:b w:val="0"/>
                <w:sz w:val="19"/>
              </w:rPr>
              <w:t>Company Size</w:t>
            </w:r>
          </w:p>
        </w:tc>
        <w:tc>
          <w:tcPr>
            <w:tcW w:type="dxa" w:w="5083"/>
            <w:vAlign w:val="top"/>
          </w:tcPr>
          <w:p>
            <w:pPr>
              <w:spacing w:after="0"/>
            </w:pPr>
            <w:r>
              <w:rPr>
                <w:rFonts w:ascii="Arial" w:hAnsi="Arial" w:eastAsia="Arial"/>
                <w:sz w:val="19"/>
              </w:rPr>
            </w:r>
            <w:r>
              <w:rPr>
                <w:rFonts w:ascii="Arial" w:hAnsi="Arial" w:eastAsia="Arial"/>
                <w:b w:val="0"/>
                <w:sz w:val="19"/>
              </w:rPr>
              <w:t>Enterprise</w:t>
            </w:r>
          </w:p>
        </w:tc>
      </w:tr>
      <w:tr>
        <w:tc>
          <w:tcPr>
            <w:tcW w:type="dxa" w:w="5083"/>
            <w:vAlign w:val="top"/>
          </w:tcPr>
          <w:p>
            <w:pPr>
              <w:spacing w:after="0"/>
            </w:pPr>
            <w:r>
              <w:rPr>
                <w:rFonts w:ascii="Arial" w:hAnsi="Arial" w:eastAsia="Arial"/>
                <w:sz w:val="19"/>
              </w:rPr>
            </w:r>
            <w:r>
              <w:rPr>
                <w:rFonts w:ascii="Arial" w:hAnsi="Arial" w:eastAsia="Arial"/>
                <w:b w:val="0"/>
                <w:sz w:val="19"/>
              </w:rPr>
              <w:t>Estimated Budget</w:t>
            </w:r>
          </w:p>
        </w:tc>
        <w:tc>
          <w:tcPr>
            <w:tcW w:type="dxa" w:w="5083"/>
            <w:vAlign w:val="top"/>
          </w:tcPr>
          <w:p>
            <w:pPr>
              <w:spacing w:after="0"/>
            </w:pPr>
            <w:r>
              <w:rPr>
                <w:rFonts w:ascii="Arial" w:hAnsi="Arial" w:eastAsia="Arial"/>
                <w:sz w:val="19"/>
              </w:rPr>
            </w:r>
            <w:r>
              <w:rPr>
                <w:rFonts w:ascii="Arial" w:hAnsi="Arial" w:eastAsia="Arial"/>
                <w:b w:val="0"/>
                <w:sz w:val="19"/>
              </w:rPr>
              <w:t>Rs. 6,00,000</w:t>
            </w:r>
          </w:p>
        </w:tc>
      </w:tr>
      <w:tr>
        <w:tc>
          <w:tcPr>
            <w:tcW w:type="dxa" w:w="5083"/>
            <w:vAlign w:val="top"/>
          </w:tcPr>
          <w:p>
            <w:pPr>
              <w:spacing w:after="0"/>
            </w:pPr>
            <w:r>
              <w:rPr>
                <w:rFonts w:ascii="Arial" w:hAnsi="Arial" w:eastAsia="Arial"/>
                <w:sz w:val="19"/>
              </w:rPr>
            </w:r>
            <w:r>
              <w:rPr>
                <w:rFonts w:ascii="Arial" w:hAnsi="Arial" w:eastAsia="Arial"/>
                <w:b w:val="0"/>
                <w:sz w:val="19"/>
              </w:rPr>
              <w:t>Lead Status</w:t>
            </w:r>
          </w:p>
        </w:tc>
        <w:tc>
          <w:tcPr>
            <w:tcW w:type="dxa" w:w="5083"/>
            <w:vAlign w:val="top"/>
          </w:tcPr>
          <w:p>
            <w:pPr>
              <w:spacing w:after="0"/>
            </w:pPr>
            <w:r>
              <w:rPr>
                <w:rFonts w:ascii="Arial" w:hAnsi="Arial" w:eastAsia="Arial"/>
                <w:sz w:val="19"/>
              </w:rPr>
            </w:r>
            <w:r>
              <w:rPr>
                <w:rFonts w:ascii="Arial" w:hAnsi="Arial" w:eastAsia="Arial"/>
                <w:b w:val="0"/>
                <w:sz w:val="19"/>
              </w:rPr>
              <w:t>New</w:t>
            </w:r>
          </w:p>
        </w:tc>
      </w:tr>
      <w:tr>
        <w:tc>
          <w:tcPr>
            <w:tcW w:type="dxa" w:w="5083"/>
            <w:vAlign w:val="top"/>
          </w:tcPr>
          <w:p>
            <w:pPr>
              <w:spacing w:after="0"/>
            </w:pPr>
            <w:r>
              <w:rPr>
                <w:rFonts w:ascii="Arial" w:hAnsi="Arial" w:eastAsia="Arial"/>
                <w:sz w:val="19"/>
              </w:rPr>
            </w:r>
            <w:r>
              <w:rPr>
                <w:rFonts w:ascii="Arial" w:hAnsi="Arial" w:eastAsia="Arial"/>
                <w:b w:val="0"/>
                <w:sz w:val="19"/>
              </w:rPr>
              <w:t>Lead Priority</w:t>
            </w:r>
          </w:p>
        </w:tc>
        <w:tc>
          <w:tcPr>
            <w:tcW w:type="dxa" w:w="5083"/>
            <w:vAlign w:val="top"/>
          </w:tcPr>
          <w:p>
            <w:pPr>
              <w:spacing w:after="0"/>
            </w:pPr>
            <w:r>
              <w:rPr>
                <w:rFonts w:ascii="Arial" w:hAnsi="Arial" w:eastAsia="Arial"/>
                <w:sz w:val="19"/>
              </w:rPr>
            </w:r>
            <w:r>
              <w:rPr>
                <w:rFonts w:ascii="Arial" w:hAnsi="Arial" w:eastAsia="Arial"/>
                <w:b w:val="0"/>
                <w:sz w:val="19"/>
              </w:rPr>
              <w:t>Hot</w:t>
            </w:r>
          </w:p>
        </w:tc>
      </w:tr>
    </w:tbl>
    <w:p/>
    <w:p>
      <w:r>
        <w:t>The lead record should contain enough information for the sales user to contact the customer and evaluate whether the lead can become a business opportunity.</w:t>
      </w:r>
    </w:p>
    <w:p>
      <w:pPr>
        <w:pStyle w:val="Heading1"/>
      </w:pPr>
      <w:r>
        <w:t>8. Lead Assignment Explanation</w:t>
      </w:r>
    </w:p>
    <w:p>
      <w:r>
        <w:t>Lead assignment decides who should handle a new lead. In a real company, different sales users may handle different products, regions, or customer types. Automatic lead assignment saves time and avoids confusion.</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Condition</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Assigned To</w:t>
            </w:r>
          </w:p>
        </w:tc>
      </w:tr>
      <w:tr>
        <w:tc>
          <w:tcPr>
            <w:tcW w:type="dxa" w:w="5083"/>
            <w:vAlign w:val="top"/>
          </w:tcPr>
          <w:p>
            <w:pPr>
              <w:spacing w:after="0"/>
            </w:pPr>
            <w:r>
              <w:rPr>
                <w:rFonts w:ascii="Arial" w:hAnsi="Arial" w:eastAsia="Arial"/>
                <w:sz w:val="19"/>
              </w:rPr>
            </w:r>
            <w:r>
              <w:rPr>
                <w:rFonts w:ascii="Arial" w:hAnsi="Arial" w:eastAsia="Arial"/>
                <w:b w:val="0"/>
                <w:sz w:val="19"/>
              </w:rPr>
              <w:t>Product Interest = CRM</w:t>
            </w:r>
          </w:p>
        </w:tc>
        <w:tc>
          <w:tcPr>
            <w:tcW w:type="dxa" w:w="5083"/>
            <w:vAlign w:val="top"/>
          </w:tcPr>
          <w:p>
            <w:pPr>
              <w:spacing w:after="0"/>
            </w:pPr>
            <w:r>
              <w:rPr>
                <w:rFonts w:ascii="Arial" w:hAnsi="Arial" w:eastAsia="Arial"/>
                <w:sz w:val="19"/>
              </w:rPr>
            </w:r>
            <w:r>
              <w:rPr>
                <w:rFonts w:ascii="Arial" w:hAnsi="Arial" w:eastAsia="Arial"/>
                <w:b w:val="0"/>
                <w:sz w:val="19"/>
              </w:rPr>
              <w:t>Sales Executive 1</w:t>
            </w:r>
          </w:p>
        </w:tc>
      </w:tr>
      <w:tr>
        <w:tc>
          <w:tcPr>
            <w:tcW w:type="dxa" w:w="5083"/>
            <w:vAlign w:val="top"/>
          </w:tcPr>
          <w:p>
            <w:pPr>
              <w:spacing w:after="0"/>
            </w:pPr>
            <w:r>
              <w:rPr>
                <w:rFonts w:ascii="Arial" w:hAnsi="Arial" w:eastAsia="Arial"/>
                <w:sz w:val="19"/>
              </w:rPr>
            </w:r>
            <w:r>
              <w:rPr>
                <w:rFonts w:ascii="Arial" w:hAnsi="Arial" w:eastAsia="Arial"/>
                <w:b w:val="0"/>
                <w:sz w:val="19"/>
              </w:rPr>
              <w:t>Product Interest = Analytics</w:t>
            </w:r>
          </w:p>
        </w:tc>
        <w:tc>
          <w:tcPr>
            <w:tcW w:type="dxa" w:w="5083"/>
            <w:vAlign w:val="top"/>
          </w:tcPr>
          <w:p>
            <w:pPr>
              <w:spacing w:after="0"/>
            </w:pPr>
            <w:r>
              <w:rPr>
                <w:rFonts w:ascii="Arial" w:hAnsi="Arial" w:eastAsia="Arial"/>
                <w:sz w:val="19"/>
              </w:rPr>
            </w:r>
            <w:r>
              <w:rPr>
                <w:rFonts w:ascii="Arial" w:hAnsi="Arial" w:eastAsia="Arial"/>
                <w:b w:val="0"/>
                <w:sz w:val="19"/>
              </w:rPr>
              <w:t>Sales Executive 2</w:t>
            </w:r>
          </w:p>
        </w:tc>
      </w:tr>
      <w:tr>
        <w:tc>
          <w:tcPr>
            <w:tcW w:type="dxa" w:w="5083"/>
            <w:vAlign w:val="top"/>
          </w:tcPr>
          <w:p>
            <w:pPr>
              <w:spacing w:after="0"/>
            </w:pPr>
            <w:r>
              <w:rPr>
                <w:rFonts w:ascii="Arial" w:hAnsi="Arial" w:eastAsia="Arial"/>
                <w:sz w:val="19"/>
              </w:rPr>
            </w:r>
            <w:r>
              <w:rPr>
                <w:rFonts w:ascii="Arial" w:hAnsi="Arial" w:eastAsia="Arial"/>
                <w:b w:val="0"/>
                <w:sz w:val="19"/>
              </w:rPr>
              <w:t>Product Interest = Automation</w:t>
            </w:r>
          </w:p>
        </w:tc>
        <w:tc>
          <w:tcPr>
            <w:tcW w:type="dxa" w:w="5083"/>
            <w:vAlign w:val="top"/>
          </w:tcPr>
          <w:p>
            <w:pPr>
              <w:spacing w:after="0"/>
            </w:pPr>
            <w:r>
              <w:rPr>
                <w:rFonts w:ascii="Arial" w:hAnsi="Arial" w:eastAsia="Arial"/>
                <w:sz w:val="19"/>
              </w:rPr>
            </w:r>
            <w:r>
              <w:rPr>
                <w:rFonts w:ascii="Arial" w:hAnsi="Arial" w:eastAsia="Arial"/>
                <w:b w:val="0"/>
                <w:sz w:val="19"/>
              </w:rPr>
              <w:t>Sales Executive 3</w:t>
            </w:r>
          </w:p>
        </w:tc>
      </w:tr>
      <w:tr>
        <w:tc>
          <w:tcPr>
            <w:tcW w:type="dxa" w:w="5083"/>
            <w:vAlign w:val="top"/>
          </w:tcPr>
          <w:p>
            <w:pPr>
              <w:spacing w:after="0"/>
            </w:pPr>
            <w:r>
              <w:rPr>
                <w:rFonts w:ascii="Arial" w:hAnsi="Arial" w:eastAsia="Arial"/>
                <w:sz w:val="19"/>
              </w:rPr>
            </w:r>
            <w:r>
              <w:rPr>
                <w:rFonts w:ascii="Arial" w:hAnsi="Arial" w:eastAsia="Arial"/>
                <w:b w:val="0"/>
                <w:sz w:val="19"/>
              </w:rPr>
              <w:t>Company Size = Enterprise</w:t>
            </w:r>
          </w:p>
        </w:tc>
        <w:tc>
          <w:tcPr>
            <w:tcW w:type="dxa" w:w="5083"/>
            <w:vAlign w:val="top"/>
          </w:tcPr>
          <w:p>
            <w:pPr>
              <w:spacing w:after="0"/>
            </w:pPr>
            <w:r>
              <w:rPr>
                <w:rFonts w:ascii="Arial" w:hAnsi="Arial" w:eastAsia="Arial"/>
                <w:sz w:val="19"/>
              </w:rPr>
            </w:r>
            <w:r>
              <w:rPr>
                <w:rFonts w:ascii="Arial" w:hAnsi="Arial" w:eastAsia="Arial"/>
                <w:b w:val="0"/>
                <w:sz w:val="19"/>
              </w:rPr>
              <w:t>Senior Sales Executive</w:t>
            </w:r>
          </w:p>
        </w:tc>
      </w:tr>
    </w:tbl>
    <w:p/>
    <w:p>
      <w:r>
        <w:t>This improves lead response time because the lead reaches the correct sales person immediately.</w:t>
      </w:r>
    </w:p>
    <w:p>
      <w:pPr>
        <w:pStyle w:val="Heading1"/>
      </w:pPr>
      <w:r>
        <w:t>9. Lead Follow-up and Qualification</w:t>
      </w:r>
    </w:p>
    <w:p>
      <w:r>
        <w:t>After the lead is assigned, the sales user contacts the customer and updates the lead record. Follow-up details are important because they show whether the lead is being actively handled.</w:t>
      </w:r>
    </w:p>
    <w:p>
      <w:r>
        <w:t>The following fields support follow-up and qualification:</w:t>
      </w:r>
    </w:p>
    <w:p>
      <w:pPr>
        <w:pStyle w:val="ListBullet"/>
      </w:pPr>
      <w:r>
        <w:t>Follow-up Date</w:t>
      </w:r>
    </w:p>
    <w:p>
      <w:pPr>
        <w:pStyle w:val="ListBullet"/>
      </w:pPr>
      <w:r>
        <w:t>Lead Status</w:t>
      </w:r>
    </w:p>
    <w:p>
      <w:pPr>
        <w:pStyle w:val="ListBullet"/>
      </w:pPr>
      <w:r>
        <w:t>Lead Score</w:t>
      </w:r>
    </w:p>
    <w:p>
      <w:pPr>
        <w:pStyle w:val="ListBullet"/>
      </w:pPr>
      <w:r>
        <w:t>Lead Priority</w:t>
      </w:r>
    </w:p>
    <w:p>
      <w:pPr>
        <w:pStyle w:val="ListBullet"/>
      </w:pPr>
      <w:r>
        <w:t>Estimated Budget</w:t>
      </w:r>
    </w:p>
    <w:p>
      <w:pPr>
        <w:pStyle w:val="ListBullet"/>
      </w:pPr>
      <w:r>
        <w:t>Qualification Remarks</w:t>
      </w:r>
    </w:p>
    <w:p>
      <w:r>
        <w:t>A lead can be marked as qualified only when the customer has a real requirement, budget, interest in a product, and possibility of purchase. This prevents weak or incomplete leads from entering the opportunity pipeline.</w:t>
      </w:r>
    </w:p>
    <w:p>
      <w:pPr>
        <w:pStyle w:val="Heading1"/>
      </w:pPr>
      <w:r>
        <w:t>10. Duplicate Management Explanation</w:t>
      </w:r>
    </w:p>
    <w:p>
      <w:r>
        <w:t>Duplicate management is important because the same customer may contact the company through different channels. For example, the same person may submit a website form and also call the sales team. If both are entered separately, reports become inaccurate and the customer may receive repeated calls.</w:t>
      </w:r>
    </w:p>
    <w:p>
      <w:r>
        <w:t>Duplicate checking can be based on:</w:t>
      </w:r>
    </w:p>
    <w:p>
      <w:pPr>
        <w:pStyle w:val="ListBullet"/>
      </w:pPr>
      <w:r>
        <w:t>Email address</w:t>
      </w:r>
    </w:p>
    <w:p>
      <w:pPr>
        <w:pStyle w:val="ListBullet"/>
      </w:pPr>
      <w:r>
        <w:t>Phone number</w:t>
      </w:r>
    </w:p>
    <w:p>
      <w:pPr>
        <w:pStyle w:val="ListBullet"/>
      </w:pPr>
      <w:r>
        <w:t>Company name</w:t>
      </w:r>
    </w:p>
    <w:p>
      <w:r>
        <w:t>Salesforce duplicate rules can warn the user when a similar record already exists. This improves data quality and helps managers trust the reports.</w:t>
      </w:r>
    </w:p>
    <w:p>
      <w:pPr>
        <w:pStyle w:val="Heading1"/>
      </w:pPr>
      <w:r>
        <w:t>11. Lead Conversion Explanation</w:t>
      </w:r>
    </w:p>
    <w:p>
      <w:r>
        <w:t>Lead conversion is the most important part of this case study. When a lead becomes qualified, Salesforce converts it into three records: Account, Contact, and Opportunity.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Before Conversion</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After Conversion</w:t>
            </w:r>
          </w:p>
        </w:tc>
      </w:tr>
      <w:tr>
        <w:tc>
          <w:tcPr>
            <w:tcW w:type="dxa" w:w="5083"/>
            <w:vAlign w:val="top"/>
          </w:tcPr>
          <w:p>
            <w:pPr>
              <w:spacing w:after="0"/>
            </w:pPr>
            <w:r>
              <w:rPr>
                <w:rFonts w:ascii="Arial" w:hAnsi="Arial" w:eastAsia="Arial"/>
                <w:sz w:val="19"/>
              </w:rPr>
            </w:r>
            <w:r>
              <w:rPr>
                <w:rFonts w:ascii="Arial" w:hAnsi="Arial" w:eastAsia="Arial"/>
                <w:b w:val="0"/>
                <w:sz w:val="19"/>
              </w:rPr>
              <w:t>Lead Company = ABC Technologies</w:t>
            </w:r>
          </w:p>
        </w:tc>
        <w:tc>
          <w:tcPr>
            <w:tcW w:type="dxa" w:w="5083"/>
            <w:vAlign w:val="top"/>
          </w:tcPr>
          <w:p>
            <w:pPr>
              <w:spacing w:after="0"/>
            </w:pPr>
            <w:r>
              <w:rPr>
                <w:rFonts w:ascii="Arial" w:hAnsi="Arial" w:eastAsia="Arial"/>
                <w:sz w:val="19"/>
              </w:rPr>
            </w:r>
            <w:r>
              <w:rPr>
                <w:rFonts w:ascii="Arial" w:hAnsi="Arial" w:eastAsia="Arial"/>
                <w:b w:val="0"/>
                <w:sz w:val="19"/>
              </w:rPr>
              <w:t>Account = ABC Technologies</w:t>
            </w:r>
          </w:p>
        </w:tc>
      </w:tr>
      <w:tr>
        <w:tc>
          <w:tcPr>
            <w:tcW w:type="dxa" w:w="5083"/>
            <w:vAlign w:val="top"/>
          </w:tcPr>
          <w:p>
            <w:pPr>
              <w:spacing w:after="0"/>
            </w:pPr>
            <w:r>
              <w:rPr>
                <w:rFonts w:ascii="Arial" w:hAnsi="Arial" w:eastAsia="Arial"/>
                <w:sz w:val="19"/>
              </w:rPr>
            </w:r>
            <w:r>
              <w:rPr>
                <w:rFonts w:ascii="Arial" w:hAnsi="Arial" w:eastAsia="Arial"/>
                <w:b w:val="0"/>
                <w:sz w:val="19"/>
              </w:rPr>
              <w:t>Lead Name = Ravi Kumar</w:t>
            </w:r>
          </w:p>
        </w:tc>
        <w:tc>
          <w:tcPr>
            <w:tcW w:type="dxa" w:w="5083"/>
            <w:vAlign w:val="top"/>
          </w:tcPr>
          <w:p>
            <w:pPr>
              <w:spacing w:after="0"/>
            </w:pPr>
            <w:r>
              <w:rPr>
                <w:rFonts w:ascii="Arial" w:hAnsi="Arial" w:eastAsia="Arial"/>
                <w:sz w:val="19"/>
              </w:rPr>
            </w:r>
            <w:r>
              <w:rPr>
                <w:rFonts w:ascii="Arial" w:hAnsi="Arial" w:eastAsia="Arial"/>
                <w:b w:val="0"/>
                <w:sz w:val="19"/>
              </w:rPr>
              <w:t>Contact = Ravi Kumar</w:t>
            </w:r>
          </w:p>
        </w:tc>
      </w:tr>
      <w:tr>
        <w:tc>
          <w:tcPr>
            <w:tcW w:type="dxa" w:w="5083"/>
            <w:vAlign w:val="top"/>
          </w:tcPr>
          <w:p>
            <w:pPr>
              <w:spacing w:after="0"/>
            </w:pPr>
            <w:r>
              <w:rPr>
                <w:rFonts w:ascii="Arial" w:hAnsi="Arial" w:eastAsia="Arial"/>
                <w:sz w:val="19"/>
              </w:rPr>
            </w:r>
            <w:r>
              <w:rPr>
                <w:rFonts w:ascii="Arial" w:hAnsi="Arial" w:eastAsia="Arial"/>
                <w:b w:val="0"/>
                <w:sz w:val="19"/>
              </w:rPr>
              <w:t>Product Interest = CRM</w:t>
            </w:r>
          </w:p>
        </w:tc>
        <w:tc>
          <w:tcPr>
            <w:tcW w:type="dxa" w:w="5083"/>
            <w:vAlign w:val="top"/>
          </w:tcPr>
          <w:p>
            <w:pPr>
              <w:spacing w:after="0"/>
            </w:pPr>
            <w:r>
              <w:rPr>
                <w:rFonts w:ascii="Arial" w:hAnsi="Arial" w:eastAsia="Arial"/>
                <w:sz w:val="19"/>
              </w:rPr>
            </w:r>
            <w:r>
              <w:rPr>
                <w:rFonts w:ascii="Arial" w:hAnsi="Arial" w:eastAsia="Arial"/>
                <w:b w:val="0"/>
                <w:sz w:val="19"/>
              </w:rPr>
              <w:t>Opportunity = ABC Technologies CRM Deal</w:t>
            </w:r>
          </w:p>
        </w:tc>
      </w:tr>
      <w:tr>
        <w:tc>
          <w:tcPr>
            <w:tcW w:type="dxa" w:w="5083"/>
            <w:vAlign w:val="top"/>
          </w:tcPr>
          <w:p>
            <w:pPr>
              <w:spacing w:after="0"/>
            </w:pPr>
            <w:r>
              <w:rPr>
                <w:rFonts w:ascii="Arial" w:hAnsi="Arial" w:eastAsia="Arial"/>
                <w:sz w:val="19"/>
              </w:rPr>
            </w:r>
            <w:r>
              <w:rPr>
                <w:rFonts w:ascii="Arial" w:hAnsi="Arial" w:eastAsia="Arial"/>
                <w:b w:val="0"/>
                <w:sz w:val="19"/>
              </w:rPr>
              <w:t>Estimated Budget = Rs. 6,00,000</w:t>
            </w:r>
          </w:p>
        </w:tc>
        <w:tc>
          <w:tcPr>
            <w:tcW w:type="dxa" w:w="5083"/>
            <w:vAlign w:val="top"/>
          </w:tcPr>
          <w:p>
            <w:pPr>
              <w:spacing w:after="0"/>
            </w:pPr>
            <w:r>
              <w:rPr>
                <w:rFonts w:ascii="Arial" w:hAnsi="Arial" w:eastAsia="Arial"/>
                <w:sz w:val="19"/>
              </w:rPr>
            </w:r>
            <w:r>
              <w:rPr>
                <w:rFonts w:ascii="Arial" w:hAnsi="Arial" w:eastAsia="Arial"/>
                <w:b w:val="0"/>
                <w:sz w:val="19"/>
              </w:rPr>
              <w:t>Opportunity Amount = Rs. 6,00,000</w:t>
            </w:r>
          </w:p>
        </w:tc>
      </w:tr>
    </w:tbl>
    <w:p/>
    <w:p>
      <w:r>
        <w:t>This conversion shows that the possible customer has now become a real sales deal. Proper field mapping is required so that important lead information is not lost during conversion.</w:t>
      </w:r>
    </w:p>
    <w:p>
      <w:pPr>
        <w:pStyle w:val="Heading1"/>
      </w:pPr>
      <w:r>
        <w:t>12. Opportunity Management Explanation</w:t>
      </w:r>
    </w:p>
    <w:p>
      <w:r>
        <w:t>An opportunity represents a possible business deal. After lead conversion, the sales team tracks the deal using opportunity stages. Each stage shows the current position of the deal in the sales pipeline.</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Opportunity Stage</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Meaning</w:t>
            </w:r>
          </w:p>
        </w:tc>
      </w:tr>
      <w:tr>
        <w:tc>
          <w:tcPr>
            <w:tcW w:type="dxa" w:w="5083"/>
            <w:vAlign w:val="top"/>
          </w:tcPr>
          <w:p>
            <w:pPr>
              <w:spacing w:after="0"/>
            </w:pPr>
            <w:r>
              <w:rPr>
                <w:rFonts w:ascii="Arial" w:hAnsi="Arial" w:eastAsia="Arial"/>
                <w:sz w:val="19"/>
              </w:rPr>
            </w:r>
            <w:r>
              <w:rPr>
                <w:rFonts w:ascii="Arial" w:hAnsi="Arial" w:eastAsia="Arial"/>
                <w:b w:val="0"/>
                <w:sz w:val="19"/>
              </w:rPr>
              <w:t>Prospecting</w:t>
            </w:r>
          </w:p>
        </w:tc>
        <w:tc>
          <w:tcPr>
            <w:tcW w:type="dxa" w:w="5083"/>
            <w:vAlign w:val="top"/>
          </w:tcPr>
          <w:p>
            <w:pPr>
              <w:spacing w:after="0"/>
            </w:pPr>
            <w:r>
              <w:rPr>
                <w:rFonts w:ascii="Arial" w:hAnsi="Arial" w:eastAsia="Arial"/>
                <w:sz w:val="19"/>
              </w:rPr>
            </w:r>
            <w:r>
              <w:rPr>
                <w:rFonts w:ascii="Arial" w:hAnsi="Arial" w:eastAsia="Arial"/>
                <w:b w:val="0"/>
                <w:sz w:val="19"/>
              </w:rPr>
              <w:t>Initial sales discussion has started.</w:t>
            </w:r>
          </w:p>
        </w:tc>
      </w:tr>
      <w:tr>
        <w:tc>
          <w:tcPr>
            <w:tcW w:type="dxa" w:w="5083"/>
            <w:vAlign w:val="top"/>
          </w:tcPr>
          <w:p>
            <w:pPr>
              <w:spacing w:after="0"/>
            </w:pPr>
            <w:r>
              <w:rPr>
                <w:rFonts w:ascii="Arial" w:hAnsi="Arial" w:eastAsia="Arial"/>
                <w:sz w:val="19"/>
              </w:rPr>
            </w:r>
            <w:r>
              <w:rPr>
                <w:rFonts w:ascii="Arial" w:hAnsi="Arial" w:eastAsia="Arial"/>
                <w:b w:val="0"/>
                <w:sz w:val="19"/>
              </w:rPr>
              <w:t>Qualification</w:t>
            </w:r>
          </w:p>
        </w:tc>
        <w:tc>
          <w:tcPr>
            <w:tcW w:type="dxa" w:w="5083"/>
            <w:vAlign w:val="top"/>
          </w:tcPr>
          <w:p>
            <w:pPr>
              <w:spacing w:after="0"/>
            </w:pPr>
            <w:r>
              <w:rPr>
                <w:rFonts w:ascii="Arial" w:hAnsi="Arial" w:eastAsia="Arial"/>
                <w:sz w:val="19"/>
              </w:rPr>
            </w:r>
            <w:r>
              <w:rPr>
                <w:rFonts w:ascii="Arial" w:hAnsi="Arial" w:eastAsia="Arial"/>
                <w:b w:val="0"/>
                <w:sz w:val="19"/>
              </w:rPr>
              <w:t>Requirement, budget, and interest are confirmed.</w:t>
            </w:r>
          </w:p>
        </w:tc>
      </w:tr>
      <w:tr>
        <w:tc>
          <w:tcPr>
            <w:tcW w:type="dxa" w:w="5083"/>
            <w:vAlign w:val="top"/>
          </w:tcPr>
          <w:p>
            <w:pPr>
              <w:spacing w:after="0"/>
            </w:pPr>
            <w:r>
              <w:rPr>
                <w:rFonts w:ascii="Arial" w:hAnsi="Arial" w:eastAsia="Arial"/>
                <w:sz w:val="19"/>
              </w:rPr>
            </w:r>
            <w:r>
              <w:rPr>
                <w:rFonts w:ascii="Arial" w:hAnsi="Arial" w:eastAsia="Arial"/>
                <w:b w:val="0"/>
                <w:sz w:val="19"/>
              </w:rPr>
              <w:t>Proposal</w:t>
            </w:r>
          </w:p>
        </w:tc>
        <w:tc>
          <w:tcPr>
            <w:tcW w:type="dxa" w:w="5083"/>
            <w:vAlign w:val="top"/>
          </w:tcPr>
          <w:p>
            <w:pPr>
              <w:spacing w:after="0"/>
            </w:pPr>
            <w:r>
              <w:rPr>
                <w:rFonts w:ascii="Arial" w:hAnsi="Arial" w:eastAsia="Arial"/>
                <w:sz w:val="19"/>
              </w:rPr>
            </w:r>
            <w:r>
              <w:rPr>
                <w:rFonts w:ascii="Arial" w:hAnsi="Arial" w:eastAsia="Arial"/>
                <w:b w:val="0"/>
                <w:sz w:val="19"/>
              </w:rPr>
              <w:t>Proposal or quotation is shared with the customer.</w:t>
            </w:r>
          </w:p>
        </w:tc>
      </w:tr>
      <w:tr>
        <w:tc>
          <w:tcPr>
            <w:tcW w:type="dxa" w:w="5083"/>
            <w:vAlign w:val="top"/>
          </w:tcPr>
          <w:p>
            <w:pPr>
              <w:spacing w:after="0"/>
            </w:pPr>
            <w:r>
              <w:rPr>
                <w:rFonts w:ascii="Arial" w:hAnsi="Arial" w:eastAsia="Arial"/>
                <w:sz w:val="19"/>
              </w:rPr>
            </w:r>
            <w:r>
              <w:rPr>
                <w:rFonts w:ascii="Arial" w:hAnsi="Arial" w:eastAsia="Arial"/>
                <w:b w:val="0"/>
                <w:sz w:val="19"/>
              </w:rPr>
              <w:t>Negotiation</w:t>
            </w:r>
          </w:p>
        </w:tc>
        <w:tc>
          <w:tcPr>
            <w:tcW w:type="dxa" w:w="5083"/>
            <w:vAlign w:val="top"/>
          </w:tcPr>
          <w:p>
            <w:pPr>
              <w:spacing w:after="0"/>
            </w:pPr>
            <w:r>
              <w:rPr>
                <w:rFonts w:ascii="Arial" w:hAnsi="Arial" w:eastAsia="Arial"/>
                <w:sz w:val="19"/>
              </w:rPr>
            </w:r>
            <w:r>
              <w:rPr>
                <w:rFonts w:ascii="Arial" w:hAnsi="Arial" w:eastAsia="Arial"/>
                <w:b w:val="0"/>
                <w:sz w:val="19"/>
              </w:rPr>
              <w:t>Price, terms, or contract details are being discussed.</w:t>
            </w:r>
          </w:p>
        </w:tc>
      </w:tr>
      <w:tr>
        <w:tc>
          <w:tcPr>
            <w:tcW w:type="dxa" w:w="5083"/>
            <w:vAlign w:val="top"/>
          </w:tcPr>
          <w:p>
            <w:pPr>
              <w:spacing w:after="0"/>
            </w:pPr>
            <w:r>
              <w:rPr>
                <w:rFonts w:ascii="Arial" w:hAnsi="Arial" w:eastAsia="Arial"/>
                <w:sz w:val="19"/>
              </w:rPr>
            </w:r>
            <w:r>
              <w:rPr>
                <w:rFonts w:ascii="Arial" w:hAnsi="Arial" w:eastAsia="Arial"/>
                <w:b w:val="0"/>
                <w:sz w:val="19"/>
              </w:rPr>
              <w:t>Closed Won</w:t>
            </w:r>
          </w:p>
        </w:tc>
        <w:tc>
          <w:tcPr>
            <w:tcW w:type="dxa" w:w="5083"/>
            <w:vAlign w:val="top"/>
          </w:tcPr>
          <w:p>
            <w:pPr>
              <w:spacing w:after="0"/>
            </w:pPr>
            <w:r>
              <w:rPr>
                <w:rFonts w:ascii="Arial" w:hAnsi="Arial" w:eastAsia="Arial"/>
                <w:sz w:val="19"/>
              </w:rPr>
            </w:r>
            <w:r>
              <w:rPr>
                <w:rFonts w:ascii="Arial" w:hAnsi="Arial" w:eastAsia="Arial"/>
                <w:b w:val="0"/>
                <w:sz w:val="19"/>
              </w:rPr>
              <w:t>The customer accepted and the deal is successful.</w:t>
            </w:r>
          </w:p>
        </w:tc>
      </w:tr>
      <w:tr>
        <w:tc>
          <w:tcPr>
            <w:tcW w:type="dxa" w:w="5083"/>
            <w:vAlign w:val="top"/>
          </w:tcPr>
          <w:p>
            <w:pPr>
              <w:spacing w:after="0"/>
            </w:pPr>
            <w:r>
              <w:rPr>
                <w:rFonts w:ascii="Arial" w:hAnsi="Arial" w:eastAsia="Arial"/>
                <w:sz w:val="19"/>
              </w:rPr>
            </w:r>
            <w:r>
              <w:rPr>
                <w:rFonts w:ascii="Arial" w:hAnsi="Arial" w:eastAsia="Arial"/>
                <w:b w:val="0"/>
                <w:sz w:val="19"/>
              </w:rPr>
              <w:t>Closed Lost</w:t>
            </w:r>
          </w:p>
        </w:tc>
        <w:tc>
          <w:tcPr>
            <w:tcW w:type="dxa" w:w="5083"/>
            <w:vAlign w:val="top"/>
          </w:tcPr>
          <w:p>
            <w:pPr>
              <w:spacing w:after="0"/>
            </w:pPr>
            <w:r>
              <w:rPr>
                <w:rFonts w:ascii="Arial" w:hAnsi="Arial" w:eastAsia="Arial"/>
                <w:sz w:val="19"/>
              </w:rPr>
            </w:r>
            <w:r>
              <w:rPr>
                <w:rFonts w:ascii="Arial" w:hAnsi="Arial" w:eastAsia="Arial"/>
                <w:b w:val="0"/>
                <w:sz w:val="19"/>
              </w:rPr>
              <w:t>The customer rejected or the deal did not proceed.</w:t>
            </w:r>
          </w:p>
        </w:tc>
      </w:tr>
    </w:tbl>
    <w:p/>
    <w:p>
      <w:r>
        <w:t>Opportunity stages help managers understand the sales pipeline and predict possible revenue.</w:t>
      </w:r>
    </w:p>
    <w:p>
      <w:pPr>
        <w:pStyle w:val="Heading1"/>
      </w:pPr>
      <w:r>
        <w:t>13. Approval Process Explanation</w:t>
      </w:r>
    </w:p>
    <w:p>
      <w:r>
        <w:t>The company requires manager approval for high-value opportunities. This is required because large deals may involve discounts, special pricing, contract commitments, or financial risk.</w:t>
      </w:r>
    </w:p>
    <w:p>
      <w:r>
        <w:t>Example approval condition: Opportunity Amount greater than Rs. 5,00,000.</w:t>
      </w:r>
    </w:p>
    <w:p>
      <w:r>
        <w:t>Approval flow:</w:t>
      </w:r>
    </w:p>
    <w:p>
      <w:pPr>
        <w:pStyle w:val="ListNumber"/>
      </w:pPr>
      <w:r>
        <w:t>Sales Executive submits the opportunity for approval.</w:t>
      </w:r>
    </w:p>
    <w:p>
      <w:pPr>
        <w:pStyle w:val="ListNumber"/>
      </w:pPr>
      <w:r>
        <w:t>Sales Manager receives the approval request.</w:t>
      </w:r>
    </w:p>
    <w:p>
      <w:pPr>
        <w:pStyle w:val="ListNumber"/>
      </w:pPr>
      <w:r>
        <w:t>Sales Manager reviews the opportunity details.</w:t>
      </w:r>
    </w:p>
    <w:p>
      <w:pPr>
        <w:pStyle w:val="ListNumber"/>
      </w:pPr>
      <w:r>
        <w:t>Sales Manager approves or rejects the request.</w:t>
      </w:r>
    </w:p>
    <w:p>
      <w:pPr>
        <w:pStyle w:val="ListNumber"/>
      </w:pPr>
      <w:r>
        <w:t>Approval Status is updated automatically.</w:t>
      </w:r>
    </w:p>
    <w:p>
      <w:pPr>
        <w:pStyle w:val="ListNumber"/>
      </w:pPr>
      <w:r>
        <w:t>Approval history is stored for audit.</w:t>
      </w:r>
    </w:p>
    <w:p>
      <w:r>
        <w:t>This process gives management control and keeps a clear record of who approved or rejected the deal.</w:t>
      </w:r>
    </w:p>
    <w:p>
      <w:pPr>
        <w:pStyle w:val="Heading1"/>
      </w:pPr>
      <w:r>
        <w:t>14. Security and Access Control Explanation</w:t>
      </w:r>
    </w:p>
    <w:p>
      <w:r>
        <w:t>Sales data may contain sensitive customer and business information. Salesforce security should be configured so users can access only what they need.</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Security Feature</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Purpose</w:t>
            </w:r>
          </w:p>
        </w:tc>
      </w:tr>
      <w:tr>
        <w:tc>
          <w:tcPr>
            <w:tcW w:type="dxa" w:w="5083"/>
            <w:vAlign w:val="top"/>
          </w:tcPr>
          <w:p>
            <w:pPr>
              <w:spacing w:after="0"/>
            </w:pPr>
            <w:r>
              <w:rPr>
                <w:rFonts w:ascii="Arial" w:hAnsi="Arial" w:eastAsia="Arial"/>
                <w:sz w:val="19"/>
              </w:rPr>
            </w:r>
            <w:r>
              <w:rPr>
                <w:rFonts w:ascii="Arial" w:hAnsi="Arial" w:eastAsia="Arial"/>
                <w:b w:val="0"/>
                <w:sz w:val="19"/>
              </w:rPr>
              <w:t>Profile</w:t>
            </w:r>
          </w:p>
        </w:tc>
        <w:tc>
          <w:tcPr>
            <w:tcW w:type="dxa" w:w="5083"/>
            <w:vAlign w:val="top"/>
          </w:tcPr>
          <w:p>
            <w:pPr>
              <w:spacing w:after="0"/>
            </w:pPr>
            <w:r>
              <w:rPr>
                <w:rFonts w:ascii="Arial" w:hAnsi="Arial" w:eastAsia="Arial"/>
                <w:sz w:val="19"/>
              </w:rPr>
            </w:r>
            <w:r>
              <w:rPr>
                <w:rFonts w:ascii="Arial" w:hAnsi="Arial" w:eastAsia="Arial"/>
                <w:b w:val="0"/>
                <w:sz w:val="19"/>
              </w:rPr>
              <w:t>Controls object permissions such as create, read, edit, and delete.</w:t>
            </w:r>
          </w:p>
        </w:tc>
      </w:tr>
      <w:tr>
        <w:tc>
          <w:tcPr>
            <w:tcW w:type="dxa" w:w="5083"/>
            <w:vAlign w:val="top"/>
          </w:tcPr>
          <w:p>
            <w:pPr>
              <w:spacing w:after="0"/>
            </w:pPr>
            <w:r>
              <w:rPr>
                <w:rFonts w:ascii="Arial" w:hAnsi="Arial" w:eastAsia="Arial"/>
                <w:sz w:val="19"/>
              </w:rPr>
            </w:r>
            <w:r>
              <w:rPr>
                <w:rFonts w:ascii="Arial" w:hAnsi="Arial" w:eastAsia="Arial"/>
                <w:b w:val="0"/>
                <w:sz w:val="19"/>
              </w:rPr>
              <w:t>Role Hierarchy</w:t>
            </w:r>
          </w:p>
        </w:tc>
        <w:tc>
          <w:tcPr>
            <w:tcW w:type="dxa" w:w="5083"/>
            <w:vAlign w:val="top"/>
          </w:tcPr>
          <w:p>
            <w:pPr>
              <w:spacing w:after="0"/>
            </w:pPr>
            <w:r>
              <w:rPr>
                <w:rFonts w:ascii="Arial" w:hAnsi="Arial" w:eastAsia="Arial"/>
                <w:sz w:val="19"/>
              </w:rPr>
            </w:r>
            <w:r>
              <w:rPr>
                <w:rFonts w:ascii="Arial" w:hAnsi="Arial" w:eastAsia="Arial"/>
                <w:b w:val="0"/>
                <w:sz w:val="19"/>
              </w:rPr>
              <w:t>Controls record visibility based on reporting structure.</w:t>
            </w:r>
          </w:p>
        </w:tc>
      </w:tr>
      <w:tr>
        <w:tc>
          <w:tcPr>
            <w:tcW w:type="dxa" w:w="5083"/>
            <w:vAlign w:val="top"/>
          </w:tcPr>
          <w:p>
            <w:pPr>
              <w:spacing w:after="0"/>
            </w:pPr>
            <w:r>
              <w:rPr>
                <w:rFonts w:ascii="Arial" w:hAnsi="Arial" w:eastAsia="Arial"/>
                <w:sz w:val="19"/>
              </w:rPr>
            </w:r>
            <w:r>
              <w:rPr>
                <w:rFonts w:ascii="Arial" w:hAnsi="Arial" w:eastAsia="Arial"/>
                <w:b w:val="0"/>
                <w:sz w:val="19"/>
              </w:rPr>
              <w:t>Permission Set</w:t>
            </w:r>
          </w:p>
        </w:tc>
        <w:tc>
          <w:tcPr>
            <w:tcW w:type="dxa" w:w="5083"/>
            <w:vAlign w:val="top"/>
          </w:tcPr>
          <w:p>
            <w:pPr>
              <w:spacing w:after="0"/>
            </w:pPr>
            <w:r>
              <w:rPr>
                <w:rFonts w:ascii="Arial" w:hAnsi="Arial" w:eastAsia="Arial"/>
                <w:sz w:val="19"/>
              </w:rPr>
            </w:r>
            <w:r>
              <w:rPr>
                <w:rFonts w:ascii="Arial" w:hAnsi="Arial" w:eastAsia="Arial"/>
                <w:b w:val="0"/>
                <w:sz w:val="19"/>
              </w:rPr>
              <w:t>Provides extra access to selected users.</w:t>
            </w:r>
          </w:p>
        </w:tc>
      </w:tr>
      <w:tr>
        <w:tc>
          <w:tcPr>
            <w:tcW w:type="dxa" w:w="5083"/>
            <w:vAlign w:val="top"/>
          </w:tcPr>
          <w:p>
            <w:pPr>
              <w:spacing w:after="0"/>
            </w:pPr>
            <w:r>
              <w:rPr>
                <w:rFonts w:ascii="Arial" w:hAnsi="Arial" w:eastAsia="Arial"/>
                <w:sz w:val="19"/>
              </w:rPr>
            </w:r>
            <w:r>
              <w:rPr>
                <w:rFonts w:ascii="Arial" w:hAnsi="Arial" w:eastAsia="Arial"/>
                <w:b w:val="0"/>
                <w:sz w:val="19"/>
              </w:rPr>
              <w:t>Field-Level Security</w:t>
            </w:r>
          </w:p>
        </w:tc>
        <w:tc>
          <w:tcPr>
            <w:tcW w:type="dxa" w:w="5083"/>
            <w:vAlign w:val="top"/>
          </w:tcPr>
          <w:p>
            <w:pPr>
              <w:spacing w:after="0"/>
            </w:pPr>
            <w:r>
              <w:rPr>
                <w:rFonts w:ascii="Arial" w:hAnsi="Arial" w:eastAsia="Arial"/>
                <w:sz w:val="19"/>
              </w:rPr>
            </w:r>
            <w:r>
              <w:rPr>
                <w:rFonts w:ascii="Arial" w:hAnsi="Arial" w:eastAsia="Arial"/>
                <w:b w:val="0"/>
                <w:sz w:val="19"/>
              </w:rPr>
              <w:t>Controls visibility and edit access for sensitive fields.</w:t>
            </w:r>
          </w:p>
        </w:tc>
      </w:tr>
      <w:tr>
        <w:tc>
          <w:tcPr>
            <w:tcW w:type="dxa" w:w="5083"/>
            <w:vAlign w:val="top"/>
          </w:tcPr>
          <w:p>
            <w:pPr>
              <w:spacing w:after="0"/>
            </w:pPr>
            <w:r>
              <w:rPr>
                <w:rFonts w:ascii="Arial" w:hAnsi="Arial" w:eastAsia="Arial"/>
                <w:sz w:val="19"/>
              </w:rPr>
            </w:r>
            <w:r>
              <w:rPr>
                <w:rFonts w:ascii="Arial" w:hAnsi="Arial" w:eastAsia="Arial"/>
                <w:b w:val="0"/>
                <w:sz w:val="19"/>
              </w:rPr>
              <w:t>Sharing Rules</w:t>
            </w:r>
          </w:p>
        </w:tc>
        <w:tc>
          <w:tcPr>
            <w:tcW w:type="dxa" w:w="5083"/>
            <w:vAlign w:val="top"/>
          </w:tcPr>
          <w:p>
            <w:pPr>
              <w:spacing w:after="0"/>
            </w:pPr>
            <w:r>
              <w:rPr>
                <w:rFonts w:ascii="Arial" w:hAnsi="Arial" w:eastAsia="Arial"/>
                <w:sz w:val="19"/>
              </w:rPr>
            </w:r>
            <w:r>
              <w:rPr>
                <w:rFonts w:ascii="Arial" w:hAnsi="Arial" w:eastAsia="Arial"/>
                <w:b w:val="0"/>
                <w:sz w:val="19"/>
              </w:rPr>
              <w:t>Extends record access when required.</w:t>
            </w:r>
          </w:p>
        </w:tc>
      </w:tr>
    </w:tbl>
    <w:p/>
    <w:p>
      <w:r>
        <w:t>For example, Sales Executive can create and update leads, Sales Manager can approve opportunities, Sales Head can view reports, and System Administrator can configure the system.</w:t>
      </w:r>
    </w:p>
    <w:p>
      <w:pPr>
        <w:pStyle w:val="Heading1"/>
      </w:pPr>
      <w:r>
        <w:t>15. Validation Rules Explanation</w:t>
      </w:r>
    </w:p>
    <w:p>
      <w:r>
        <w:t>Validation rules are used to stop incorrect or incomplete data entry. They help maintain clean CRM data and improve report accuracy.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Validation Rule</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Business Meaning</w:t>
            </w:r>
          </w:p>
        </w:tc>
      </w:tr>
      <w:tr>
        <w:tc>
          <w:tcPr>
            <w:tcW w:type="dxa" w:w="5083"/>
            <w:vAlign w:val="top"/>
          </w:tcPr>
          <w:p>
            <w:pPr>
              <w:spacing w:after="0"/>
            </w:pPr>
            <w:r>
              <w:rPr>
                <w:rFonts w:ascii="Arial" w:hAnsi="Arial" w:eastAsia="Arial"/>
                <w:sz w:val="19"/>
              </w:rPr>
            </w:r>
            <w:r>
              <w:rPr>
                <w:rFonts w:ascii="Arial" w:hAnsi="Arial" w:eastAsia="Arial"/>
                <w:b w:val="0"/>
                <w:sz w:val="19"/>
              </w:rPr>
              <w:t>Budget required for qualified lead</w:t>
            </w:r>
          </w:p>
        </w:tc>
        <w:tc>
          <w:tcPr>
            <w:tcW w:type="dxa" w:w="5083"/>
            <w:vAlign w:val="top"/>
          </w:tcPr>
          <w:p>
            <w:pPr>
              <w:spacing w:after="0"/>
            </w:pPr>
            <w:r>
              <w:rPr>
                <w:rFonts w:ascii="Arial" w:hAnsi="Arial" w:eastAsia="Arial"/>
                <w:sz w:val="19"/>
              </w:rPr>
            </w:r>
            <w:r>
              <w:rPr>
                <w:rFonts w:ascii="Arial" w:hAnsi="Arial" w:eastAsia="Arial"/>
                <w:b w:val="0"/>
                <w:sz w:val="19"/>
              </w:rPr>
              <w:t>A lead should not be qualified unless estimated budget is entered.</w:t>
            </w:r>
          </w:p>
        </w:tc>
      </w:tr>
      <w:tr>
        <w:tc>
          <w:tcPr>
            <w:tcW w:type="dxa" w:w="5083"/>
            <w:vAlign w:val="top"/>
          </w:tcPr>
          <w:p>
            <w:pPr>
              <w:spacing w:after="0"/>
            </w:pPr>
            <w:r>
              <w:rPr>
                <w:rFonts w:ascii="Arial" w:hAnsi="Arial" w:eastAsia="Arial"/>
                <w:sz w:val="19"/>
              </w:rPr>
            </w:r>
            <w:r>
              <w:rPr>
                <w:rFonts w:ascii="Arial" w:hAnsi="Arial" w:eastAsia="Arial"/>
                <w:b w:val="0"/>
                <w:sz w:val="19"/>
              </w:rPr>
              <w:t>Follow-up date cannot be in the past</w:t>
            </w:r>
          </w:p>
        </w:tc>
        <w:tc>
          <w:tcPr>
            <w:tcW w:type="dxa" w:w="5083"/>
            <w:vAlign w:val="top"/>
          </w:tcPr>
          <w:p>
            <w:pPr>
              <w:spacing w:after="0"/>
            </w:pPr>
            <w:r>
              <w:rPr>
                <w:rFonts w:ascii="Arial" w:hAnsi="Arial" w:eastAsia="Arial"/>
                <w:sz w:val="19"/>
              </w:rPr>
            </w:r>
            <w:r>
              <w:rPr>
                <w:rFonts w:ascii="Arial" w:hAnsi="Arial" w:eastAsia="Arial"/>
                <w:b w:val="0"/>
                <w:sz w:val="19"/>
              </w:rPr>
              <w:t>Sales users should enter future follow-up dates.</w:t>
            </w:r>
          </w:p>
        </w:tc>
      </w:tr>
      <w:tr>
        <w:tc>
          <w:tcPr>
            <w:tcW w:type="dxa" w:w="5083"/>
            <w:vAlign w:val="top"/>
          </w:tcPr>
          <w:p>
            <w:pPr>
              <w:spacing w:after="0"/>
            </w:pPr>
            <w:r>
              <w:rPr>
                <w:rFonts w:ascii="Arial" w:hAnsi="Arial" w:eastAsia="Arial"/>
                <w:sz w:val="19"/>
              </w:rPr>
            </w:r>
            <w:r>
              <w:rPr>
                <w:rFonts w:ascii="Arial" w:hAnsi="Arial" w:eastAsia="Arial"/>
                <w:b w:val="0"/>
                <w:sz w:val="19"/>
              </w:rPr>
              <w:t>Email or phone required</w:t>
            </w:r>
          </w:p>
        </w:tc>
        <w:tc>
          <w:tcPr>
            <w:tcW w:type="dxa" w:w="5083"/>
            <w:vAlign w:val="top"/>
          </w:tcPr>
          <w:p>
            <w:pPr>
              <w:spacing w:after="0"/>
            </w:pPr>
            <w:r>
              <w:rPr>
                <w:rFonts w:ascii="Arial" w:hAnsi="Arial" w:eastAsia="Arial"/>
                <w:sz w:val="19"/>
              </w:rPr>
            </w:r>
            <w:r>
              <w:rPr>
                <w:rFonts w:ascii="Arial" w:hAnsi="Arial" w:eastAsia="Arial"/>
                <w:b w:val="0"/>
                <w:sz w:val="19"/>
              </w:rPr>
              <w:t>At least one communication detail must be available.</w:t>
            </w:r>
          </w:p>
        </w:tc>
      </w:tr>
    </w:tbl>
    <w:p/>
    <w:p>
      <w:r>
        <w:t>These rules ensure that important information is available before a lead moves forward in the sales process.</w:t>
      </w:r>
    </w:p>
    <w:p>
      <w:pPr>
        <w:pStyle w:val="Heading1"/>
      </w:pPr>
      <w:r>
        <w:t>16. Flow Automation Explanation</w:t>
      </w:r>
    </w:p>
    <w:p>
      <w:r>
        <w:t>Salesforce Flow is used to automate repeated work without coding. In this case study, Flow can create follow-up tasks, send reminders, and support post-sale activities.</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Flow Scenario</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Expected Automation</w:t>
            </w:r>
          </w:p>
        </w:tc>
      </w:tr>
      <w:tr>
        <w:tc>
          <w:tcPr>
            <w:tcW w:type="dxa" w:w="5083"/>
            <w:vAlign w:val="top"/>
          </w:tcPr>
          <w:p>
            <w:pPr>
              <w:spacing w:after="0"/>
            </w:pPr>
            <w:r>
              <w:rPr>
                <w:rFonts w:ascii="Arial" w:hAnsi="Arial" w:eastAsia="Arial"/>
                <w:sz w:val="19"/>
              </w:rPr>
            </w:r>
            <w:r>
              <w:rPr>
                <w:rFonts w:ascii="Arial" w:hAnsi="Arial" w:eastAsia="Arial"/>
                <w:b w:val="0"/>
                <w:sz w:val="19"/>
              </w:rPr>
              <w:t>Lead Status becomes Qualified</w:t>
            </w:r>
          </w:p>
        </w:tc>
        <w:tc>
          <w:tcPr>
            <w:tcW w:type="dxa" w:w="5083"/>
            <w:vAlign w:val="top"/>
          </w:tcPr>
          <w:p>
            <w:pPr>
              <w:spacing w:after="0"/>
            </w:pPr>
            <w:r>
              <w:rPr>
                <w:rFonts w:ascii="Arial" w:hAnsi="Arial" w:eastAsia="Arial"/>
                <w:sz w:val="19"/>
              </w:rPr>
            </w:r>
            <w:r>
              <w:rPr>
                <w:rFonts w:ascii="Arial" w:hAnsi="Arial" w:eastAsia="Arial"/>
                <w:b w:val="0"/>
                <w:sz w:val="19"/>
              </w:rPr>
              <w:t>Create a follow-up task for the lead owner.</w:t>
            </w:r>
          </w:p>
        </w:tc>
      </w:tr>
      <w:tr>
        <w:tc>
          <w:tcPr>
            <w:tcW w:type="dxa" w:w="5083"/>
            <w:vAlign w:val="top"/>
          </w:tcPr>
          <w:p>
            <w:pPr>
              <w:spacing w:after="0"/>
            </w:pPr>
            <w:r>
              <w:rPr>
                <w:rFonts w:ascii="Arial" w:hAnsi="Arial" w:eastAsia="Arial"/>
                <w:sz w:val="19"/>
              </w:rPr>
            </w:r>
            <w:r>
              <w:rPr>
                <w:rFonts w:ascii="Arial" w:hAnsi="Arial" w:eastAsia="Arial"/>
                <w:b w:val="0"/>
                <w:sz w:val="19"/>
              </w:rPr>
              <w:t>Opportunity Amount is above approval limit</w:t>
            </w:r>
          </w:p>
        </w:tc>
        <w:tc>
          <w:tcPr>
            <w:tcW w:type="dxa" w:w="5083"/>
            <w:vAlign w:val="top"/>
          </w:tcPr>
          <w:p>
            <w:pPr>
              <w:spacing w:after="0"/>
            </w:pPr>
            <w:r>
              <w:rPr>
                <w:rFonts w:ascii="Arial" w:hAnsi="Arial" w:eastAsia="Arial"/>
                <w:sz w:val="19"/>
              </w:rPr>
            </w:r>
            <w:r>
              <w:rPr>
                <w:rFonts w:ascii="Arial" w:hAnsi="Arial" w:eastAsia="Arial"/>
                <w:b w:val="0"/>
                <w:sz w:val="19"/>
              </w:rPr>
              <w:t>Notify manager or support approval process.</w:t>
            </w:r>
          </w:p>
        </w:tc>
      </w:tr>
      <w:tr>
        <w:tc>
          <w:tcPr>
            <w:tcW w:type="dxa" w:w="5083"/>
            <w:vAlign w:val="top"/>
          </w:tcPr>
          <w:p>
            <w:pPr>
              <w:spacing w:after="0"/>
            </w:pPr>
            <w:r>
              <w:rPr>
                <w:rFonts w:ascii="Arial" w:hAnsi="Arial" w:eastAsia="Arial"/>
                <w:sz w:val="19"/>
              </w:rPr>
            </w:r>
            <w:r>
              <w:rPr>
                <w:rFonts w:ascii="Arial" w:hAnsi="Arial" w:eastAsia="Arial"/>
                <w:b w:val="0"/>
                <w:sz w:val="19"/>
              </w:rPr>
              <w:t>Opportunity Stage becomes Closed Won</w:t>
            </w:r>
          </w:p>
        </w:tc>
        <w:tc>
          <w:tcPr>
            <w:tcW w:type="dxa" w:w="5083"/>
            <w:vAlign w:val="top"/>
          </w:tcPr>
          <w:p>
            <w:pPr>
              <w:spacing w:after="0"/>
            </w:pPr>
            <w:r>
              <w:rPr>
                <w:rFonts w:ascii="Arial" w:hAnsi="Arial" w:eastAsia="Arial"/>
                <w:sz w:val="19"/>
              </w:rPr>
            </w:r>
            <w:r>
              <w:rPr>
                <w:rFonts w:ascii="Arial" w:hAnsi="Arial" w:eastAsia="Arial"/>
                <w:b w:val="0"/>
                <w:sz w:val="19"/>
              </w:rPr>
              <w:t>Create onboarding task for the support team.</w:t>
            </w:r>
          </w:p>
        </w:tc>
      </w:tr>
    </w:tbl>
    <w:p/>
    <w:p>
      <w:r>
        <w:t>Automation improves process discipline because important actions happen automatically based on record changes.</w:t>
      </w:r>
    </w:p>
    <w:p>
      <w:pPr>
        <w:pStyle w:val="Heading1"/>
      </w:pPr>
      <w:r>
        <w:t>17. Reports and Dashboard Explanation</w:t>
      </w:r>
    </w:p>
    <w:p>
      <w:r>
        <w:t>Reports and dashboards help managers monitor the sales process. Instead of opening every record manually, managers can use reports to see lead count, conversion rate, opportunity pipeline, pending approvals, and sales performance.</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Report Name</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Purpose</w:t>
            </w:r>
          </w:p>
        </w:tc>
      </w:tr>
      <w:tr>
        <w:tc>
          <w:tcPr>
            <w:tcW w:type="dxa" w:w="5083"/>
            <w:vAlign w:val="top"/>
          </w:tcPr>
          <w:p>
            <w:pPr>
              <w:spacing w:after="0"/>
            </w:pPr>
            <w:r>
              <w:rPr>
                <w:rFonts w:ascii="Arial" w:hAnsi="Arial" w:eastAsia="Arial"/>
                <w:sz w:val="19"/>
              </w:rPr>
            </w:r>
            <w:r>
              <w:rPr>
                <w:rFonts w:ascii="Arial" w:hAnsi="Arial" w:eastAsia="Arial"/>
                <w:b w:val="0"/>
                <w:sz w:val="19"/>
              </w:rPr>
              <w:t>Leads by Status</w:t>
            </w:r>
          </w:p>
        </w:tc>
        <w:tc>
          <w:tcPr>
            <w:tcW w:type="dxa" w:w="5083"/>
            <w:vAlign w:val="top"/>
          </w:tcPr>
          <w:p>
            <w:pPr>
              <w:spacing w:after="0"/>
            </w:pPr>
            <w:r>
              <w:rPr>
                <w:rFonts w:ascii="Arial" w:hAnsi="Arial" w:eastAsia="Arial"/>
                <w:sz w:val="19"/>
              </w:rPr>
            </w:r>
            <w:r>
              <w:rPr>
                <w:rFonts w:ascii="Arial" w:hAnsi="Arial" w:eastAsia="Arial"/>
                <w:b w:val="0"/>
                <w:sz w:val="19"/>
              </w:rPr>
              <w:t>Shows how many leads are New, Contacted, Qualified, Unqualified, and Converted.</w:t>
            </w:r>
          </w:p>
        </w:tc>
      </w:tr>
      <w:tr>
        <w:tc>
          <w:tcPr>
            <w:tcW w:type="dxa" w:w="5083"/>
            <w:vAlign w:val="top"/>
          </w:tcPr>
          <w:p>
            <w:pPr>
              <w:spacing w:after="0"/>
            </w:pPr>
            <w:r>
              <w:rPr>
                <w:rFonts w:ascii="Arial" w:hAnsi="Arial" w:eastAsia="Arial"/>
                <w:sz w:val="19"/>
              </w:rPr>
            </w:r>
            <w:r>
              <w:rPr>
                <w:rFonts w:ascii="Arial" w:hAnsi="Arial" w:eastAsia="Arial"/>
                <w:b w:val="0"/>
                <w:sz w:val="19"/>
              </w:rPr>
              <w:t>Leads by Source</w:t>
            </w:r>
          </w:p>
        </w:tc>
        <w:tc>
          <w:tcPr>
            <w:tcW w:type="dxa" w:w="5083"/>
            <w:vAlign w:val="top"/>
          </w:tcPr>
          <w:p>
            <w:pPr>
              <w:spacing w:after="0"/>
            </w:pPr>
            <w:r>
              <w:rPr>
                <w:rFonts w:ascii="Arial" w:hAnsi="Arial" w:eastAsia="Arial"/>
                <w:sz w:val="19"/>
              </w:rPr>
            </w:r>
            <w:r>
              <w:rPr>
                <w:rFonts w:ascii="Arial" w:hAnsi="Arial" w:eastAsia="Arial"/>
                <w:b w:val="0"/>
                <w:sz w:val="19"/>
              </w:rPr>
              <w:t>Shows which source gives more leads.</w:t>
            </w:r>
          </w:p>
        </w:tc>
      </w:tr>
      <w:tr>
        <w:tc>
          <w:tcPr>
            <w:tcW w:type="dxa" w:w="5083"/>
            <w:vAlign w:val="top"/>
          </w:tcPr>
          <w:p>
            <w:pPr>
              <w:spacing w:after="0"/>
            </w:pPr>
            <w:r>
              <w:rPr>
                <w:rFonts w:ascii="Arial" w:hAnsi="Arial" w:eastAsia="Arial"/>
                <w:sz w:val="19"/>
              </w:rPr>
            </w:r>
            <w:r>
              <w:rPr>
                <w:rFonts w:ascii="Arial" w:hAnsi="Arial" w:eastAsia="Arial"/>
                <w:b w:val="0"/>
                <w:sz w:val="19"/>
              </w:rPr>
              <w:t>Converted Leads Report</w:t>
            </w:r>
          </w:p>
        </w:tc>
        <w:tc>
          <w:tcPr>
            <w:tcW w:type="dxa" w:w="5083"/>
            <w:vAlign w:val="top"/>
          </w:tcPr>
          <w:p>
            <w:pPr>
              <w:spacing w:after="0"/>
            </w:pPr>
            <w:r>
              <w:rPr>
                <w:rFonts w:ascii="Arial" w:hAnsi="Arial" w:eastAsia="Arial"/>
                <w:sz w:val="19"/>
              </w:rPr>
            </w:r>
            <w:r>
              <w:rPr>
                <w:rFonts w:ascii="Arial" w:hAnsi="Arial" w:eastAsia="Arial"/>
                <w:b w:val="0"/>
                <w:sz w:val="19"/>
              </w:rPr>
              <w:t>Shows how many leads became opportunities.</w:t>
            </w:r>
          </w:p>
        </w:tc>
      </w:tr>
      <w:tr>
        <w:tc>
          <w:tcPr>
            <w:tcW w:type="dxa" w:w="5083"/>
            <w:vAlign w:val="top"/>
          </w:tcPr>
          <w:p>
            <w:pPr>
              <w:spacing w:after="0"/>
            </w:pPr>
            <w:r>
              <w:rPr>
                <w:rFonts w:ascii="Arial" w:hAnsi="Arial" w:eastAsia="Arial"/>
                <w:sz w:val="19"/>
              </w:rPr>
            </w:r>
            <w:r>
              <w:rPr>
                <w:rFonts w:ascii="Arial" w:hAnsi="Arial" w:eastAsia="Arial"/>
                <w:b w:val="0"/>
                <w:sz w:val="19"/>
              </w:rPr>
              <w:t>Opportunities by Stage</w:t>
            </w:r>
          </w:p>
        </w:tc>
        <w:tc>
          <w:tcPr>
            <w:tcW w:type="dxa" w:w="5083"/>
            <w:vAlign w:val="top"/>
          </w:tcPr>
          <w:p>
            <w:pPr>
              <w:spacing w:after="0"/>
            </w:pPr>
            <w:r>
              <w:rPr>
                <w:rFonts w:ascii="Arial" w:hAnsi="Arial" w:eastAsia="Arial"/>
                <w:sz w:val="19"/>
              </w:rPr>
            </w:r>
            <w:r>
              <w:rPr>
                <w:rFonts w:ascii="Arial" w:hAnsi="Arial" w:eastAsia="Arial"/>
                <w:b w:val="0"/>
                <w:sz w:val="19"/>
              </w:rPr>
              <w:t>Shows the sales pipeline.</w:t>
            </w:r>
          </w:p>
        </w:tc>
      </w:tr>
      <w:tr>
        <w:tc>
          <w:tcPr>
            <w:tcW w:type="dxa" w:w="5083"/>
            <w:vAlign w:val="top"/>
          </w:tcPr>
          <w:p>
            <w:pPr>
              <w:spacing w:after="0"/>
            </w:pPr>
            <w:r>
              <w:rPr>
                <w:rFonts w:ascii="Arial" w:hAnsi="Arial" w:eastAsia="Arial"/>
                <w:sz w:val="19"/>
              </w:rPr>
            </w:r>
            <w:r>
              <w:rPr>
                <w:rFonts w:ascii="Arial" w:hAnsi="Arial" w:eastAsia="Arial"/>
                <w:b w:val="0"/>
                <w:sz w:val="19"/>
              </w:rPr>
              <w:t>Pending Approval Opportunities</w:t>
            </w:r>
          </w:p>
        </w:tc>
        <w:tc>
          <w:tcPr>
            <w:tcW w:type="dxa" w:w="5083"/>
            <w:vAlign w:val="top"/>
          </w:tcPr>
          <w:p>
            <w:pPr>
              <w:spacing w:after="0"/>
            </w:pPr>
            <w:r>
              <w:rPr>
                <w:rFonts w:ascii="Arial" w:hAnsi="Arial" w:eastAsia="Arial"/>
                <w:sz w:val="19"/>
              </w:rPr>
            </w:r>
            <w:r>
              <w:rPr>
                <w:rFonts w:ascii="Arial" w:hAnsi="Arial" w:eastAsia="Arial"/>
                <w:b w:val="0"/>
                <w:sz w:val="19"/>
              </w:rPr>
              <w:t>Shows deals waiting for manager approval.</w:t>
            </w:r>
          </w:p>
        </w:tc>
      </w:tr>
      <w:tr>
        <w:tc>
          <w:tcPr>
            <w:tcW w:type="dxa" w:w="5083"/>
            <w:vAlign w:val="top"/>
          </w:tcPr>
          <w:p>
            <w:pPr>
              <w:spacing w:after="0"/>
            </w:pPr>
            <w:r>
              <w:rPr>
                <w:rFonts w:ascii="Arial" w:hAnsi="Arial" w:eastAsia="Arial"/>
                <w:sz w:val="19"/>
              </w:rPr>
            </w:r>
            <w:r>
              <w:rPr>
                <w:rFonts w:ascii="Arial" w:hAnsi="Arial" w:eastAsia="Arial"/>
                <w:b w:val="0"/>
                <w:sz w:val="19"/>
              </w:rPr>
              <w:t>Sales Executive Performance</w:t>
            </w:r>
          </w:p>
        </w:tc>
        <w:tc>
          <w:tcPr>
            <w:tcW w:type="dxa" w:w="5083"/>
            <w:vAlign w:val="top"/>
          </w:tcPr>
          <w:p>
            <w:pPr>
              <w:spacing w:after="0"/>
            </w:pPr>
            <w:r>
              <w:rPr>
                <w:rFonts w:ascii="Arial" w:hAnsi="Arial" w:eastAsia="Arial"/>
                <w:sz w:val="19"/>
              </w:rPr>
            </w:r>
            <w:r>
              <w:rPr>
                <w:rFonts w:ascii="Arial" w:hAnsi="Arial" w:eastAsia="Arial"/>
                <w:b w:val="0"/>
                <w:sz w:val="19"/>
              </w:rPr>
              <w:t>Shows user-wise sales activity.</w:t>
            </w:r>
          </w:p>
        </w:tc>
      </w:tr>
      <w:tr>
        <w:tc>
          <w:tcPr>
            <w:tcW w:type="dxa" w:w="5083"/>
            <w:vAlign w:val="top"/>
          </w:tcPr>
          <w:p>
            <w:pPr>
              <w:spacing w:after="0"/>
            </w:pPr>
            <w:r>
              <w:rPr>
                <w:rFonts w:ascii="Arial" w:hAnsi="Arial" w:eastAsia="Arial"/>
                <w:sz w:val="19"/>
              </w:rPr>
            </w:r>
            <w:r>
              <w:rPr>
                <w:rFonts w:ascii="Arial" w:hAnsi="Arial" w:eastAsia="Arial"/>
                <w:b w:val="0"/>
                <w:sz w:val="19"/>
              </w:rPr>
              <w:t>SLA or Follow-up Delay Report</w:t>
            </w:r>
          </w:p>
        </w:tc>
        <w:tc>
          <w:tcPr>
            <w:tcW w:type="dxa" w:w="5083"/>
            <w:vAlign w:val="top"/>
          </w:tcPr>
          <w:p>
            <w:pPr>
              <w:spacing w:after="0"/>
            </w:pPr>
            <w:r>
              <w:rPr>
                <w:rFonts w:ascii="Arial" w:hAnsi="Arial" w:eastAsia="Arial"/>
                <w:sz w:val="19"/>
              </w:rPr>
            </w:r>
            <w:r>
              <w:rPr>
                <w:rFonts w:ascii="Arial" w:hAnsi="Arial" w:eastAsia="Arial"/>
                <w:b w:val="0"/>
                <w:sz w:val="19"/>
              </w:rPr>
              <w:t>Shows leads where follow-up is delayed.</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rFonts w:ascii="Arial" w:hAnsi="Arial" w:eastAsia="Arial"/>
                <w:sz w:val="19"/>
              </w:rPr>
            </w:r>
            <w:r>
              <w:rPr>
                <w:rFonts w:ascii="Arial" w:hAnsi="Arial" w:eastAsia="Arial"/>
                <w:b/>
                <w:color w:val="FFFFFF"/>
                <w:sz w:val="19"/>
              </w:rPr>
              <w:t>Dashboard Component</w:t>
            </w:r>
          </w:p>
        </w:tc>
        <w:tc>
          <w:tcPr>
            <w:tcW w:type="dxa" w:w="5083"/>
            <w:shd w:fill="1F4E79"/>
            <w:vAlign w:val="center"/>
          </w:tcPr>
          <w:p>
            <w:pPr>
              <w:spacing w:after="0"/>
            </w:pPr>
            <w:r>
              <w:rPr>
                <w:rFonts w:ascii="Arial" w:hAnsi="Arial" w:eastAsia="Arial"/>
                <w:sz w:val="19"/>
              </w:rPr>
            </w:r>
            <w:r>
              <w:rPr>
                <w:rFonts w:ascii="Arial" w:hAnsi="Arial" w:eastAsia="Arial"/>
                <w:b/>
                <w:color w:val="FFFFFF"/>
                <w:sz w:val="19"/>
              </w:rPr>
              <w:t>Chart Type</w:t>
            </w:r>
          </w:p>
        </w:tc>
      </w:tr>
      <w:tr>
        <w:tc>
          <w:tcPr>
            <w:tcW w:type="dxa" w:w="5083"/>
            <w:vAlign w:val="top"/>
          </w:tcPr>
          <w:p>
            <w:pPr>
              <w:spacing w:after="0"/>
            </w:pPr>
            <w:r>
              <w:rPr>
                <w:rFonts w:ascii="Arial" w:hAnsi="Arial" w:eastAsia="Arial"/>
                <w:sz w:val="19"/>
              </w:rPr>
            </w:r>
            <w:r>
              <w:rPr>
                <w:rFonts w:ascii="Arial" w:hAnsi="Arial" w:eastAsia="Arial"/>
                <w:b w:val="0"/>
                <w:sz w:val="19"/>
              </w:rPr>
              <w:t>Lead Status Summary</w:t>
            </w:r>
          </w:p>
        </w:tc>
        <w:tc>
          <w:tcPr>
            <w:tcW w:type="dxa" w:w="5083"/>
            <w:vAlign w:val="top"/>
          </w:tcPr>
          <w:p>
            <w:pPr>
              <w:spacing w:after="0"/>
            </w:pPr>
            <w:r>
              <w:rPr>
                <w:rFonts w:ascii="Arial" w:hAnsi="Arial" w:eastAsia="Arial"/>
                <w:sz w:val="19"/>
              </w:rPr>
            </w:r>
            <w:r>
              <w:rPr>
                <w:rFonts w:ascii="Arial" w:hAnsi="Arial" w:eastAsia="Arial"/>
                <w:b w:val="0"/>
                <w:sz w:val="19"/>
              </w:rPr>
              <w:t>Donut Chart</w:t>
            </w:r>
          </w:p>
        </w:tc>
      </w:tr>
      <w:tr>
        <w:tc>
          <w:tcPr>
            <w:tcW w:type="dxa" w:w="5083"/>
            <w:vAlign w:val="top"/>
          </w:tcPr>
          <w:p>
            <w:pPr>
              <w:spacing w:after="0"/>
            </w:pPr>
            <w:r>
              <w:rPr>
                <w:rFonts w:ascii="Arial" w:hAnsi="Arial" w:eastAsia="Arial"/>
                <w:sz w:val="19"/>
              </w:rPr>
            </w:r>
            <w:r>
              <w:rPr>
                <w:rFonts w:ascii="Arial" w:hAnsi="Arial" w:eastAsia="Arial"/>
                <w:b w:val="0"/>
                <w:sz w:val="19"/>
              </w:rPr>
              <w:t>Lead Source Analysis</w:t>
            </w:r>
          </w:p>
        </w:tc>
        <w:tc>
          <w:tcPr>
            <w:tcW w:type="dxa" w:w="5083"/>
            <w:vAlign w:val="top"/>
          </w:tcPr>
          <w:p>
            <w:pPr>
              <w:spacing w:after="0"/>
            </w:pPr>
            <w:r>
              <w:rPr>
                <w:rFonts w:ascii="Arial" w:hAnsi="Arial" w:eastAsia="Arial"/>
                <w:sz w:val="19"/>
              </w:rPr>
            </w:r>
            <w:r>
              <w:rPr>
                <w:rFonts w:ascii="Arial" w:hAnsi="Arial" w:eastAsia="Arial"/>
                <w:b w:val="0"/>
                <w:sz w:val="19"/>
              </w:rPr>
              <w:t>Bar Chart</w:t>
            </w:r>
          </w:p>
        </w:tc>
      </w:tr>
      <w:tr>
        <w:tc>
          <w:tcPr>
            <w:tcW w:type="dxa" w:w="5083"/>
            <w:vAlign w:val="top"/>
          </w:tcPr>
          <w:p>
            <w:pPr>
              <w:spacing w:after="0"/>
            </w:pPr>
            <w:r>
              <w:rPr>
                <w:rFonts w:ascii="Arial" w:hAnsi="Arial" w:eastAsia="Arial"/>
                <w:sz w:val="19"/>
              </w:rPr>
            </w:r>
            <w:r>
              <w:rPr>
                <w:rFonts w:ascii="Arial" w:hAnsi="Arial" w:eastAsia="Arial"/>
                <w:b w:val="0"/>
                <w:sz w:val="19"/>
              </w:rPr>
              <w:t>Opportunity Pipeline</w:t>
            </w:r>
          </w:p>
        </w:tc>
        <w:tc>
          <w:tcPr>
            <w:tcW w:type="dxa" w:w="5083"/>
            <w:vAlign w:val="top"/>
          </w:tcPr>
          <w:p>
            <w:pPr>
              <w:spacing w:after="0"/>
            </w:pPr>
            <w:r>
              <w:rPr>
                <w:rFonts w:ascii="Arial" w:hAnsi="Arial" w:eastAsia="Arial"/>
                <w:sz w:val="19"/>
              </w:rPr>
            </w:r>
            <w:r>
              <w:rPr>
                <w:rFonts w:ascii="Arial" w:hAnsi="Arial" w:eastAsia="Arial"/>
                <w:b w:val="0"/>
                <w:sz w:val="19"/>
              </w:rPr>
              <w:t>Funnel Chart</w:t>
            </w:r>
          </w:p>
        </w:tc>
      </w:tr>
      <w:tr>
        <w:tc>
          <w:tcPr>
            <w:tcW w:type="dxa" w:w="5083"/>
            <w:vAlign w:val="top"/>
          </w:tcPr>
          <w:p>
            <w:pPr>
              <w:spacing w:after="0"/>
            </w:pPr>
            <w:r>
              <w:rPr>
                <w:rFonts w:ascii="Arial" w:hAnsi="Arial" w:eastAsia="Arial"/>
                <w:sz w:val="19"/>
              </w:rPr>
            </w:r>
            <w:r>
              <w:rPr>
                <w:rFonts w:ascii="Arial" w:hAnsi="Arial" w:eastAsia="Arial"/>
                <w:b w:val="0"/>
                <w:sz w:val="19"/>
              </w:rPr>
              <w:t>Monthly Revenue</w:t>
            </w:r>
          </w:p>
        </w:tc>
        <w:tc>
          <w:tcPr>
            <w:tcW w:type="dxa" w:w="5083"/>
            <w:vAlign w:val="top"/>
          </w:tcPr>
          <w:p>
            <w:pPr>
              <w:spacing w:after="0"/>
            </w:pPr>
            <w:r>
              <w:rPr>
                <w:rFonts w:ascii="Arial" w:hAnsi="Arial" w:eastAsia="Arial"/>
                <w:sz w:val="19"/>
              </w:rPr>
            </w:r>
            <w:r>
              <w:rPr>
                <w:rFonts w:ascii="Arial" w:hAnsi="Arial" w:eastAsia="Arial"/>
                <w:b w:val="0"/>
                <w:sz w:val="19"/>
              </w:rPr>
              <w:t>Line Chart</w:t>
            </w:r>
          </w:p>
        </w:tc>
      </w:tr>
      <w:tr>
        <w:tc>
          <w:tcPr>
            <w:tcW w:type="dxa" w:w="5083"/>
            <w:vAlign w:val="top"/>
          </w:tcPr>
          <w:p>
            <w:pPr>
              <w:spacing w:after="0"/>
            </w:pPr>
            <w:r>
              <w:rPr>
                <w:rFonts w:ascii="Arial" w:hAnsi="Arial" w:eastAsia="Arial"/>
                <w:sz w:val="19"/>
              </w:rPr>
            </w:r>
            <w:r>
              <w:rPr>
                <w:rFonts w:ascii="Arial" w:hAnsi="Arial" w:eastAsia="Arial"/>
                <w:b w:val="0"/>
                <w:sz w:val="19"/>
              </w:rPr>
              <w:t>Pending Approvals</w:t>
            </w:r>
          </w:p>
        </w:tc>
        <w:tc>
          <w:tcPr>
            <w:tcW w:type="dxa" w:w="5083"/>
            <w:vAlign w:val="top"/>
          </w:tcPr>
          <w:p>
            <w:pPr>
              <w:spacing w:after="0"/>
            </w:pPr>
            <w:r>
              <w:rPr>
                <w:rFonts w:ascii="Arial" w:hAnsi="Arial" w:eastAsia="Arial"/>
                <w:sz w:val="19"/>
              </w:rPr>
            </w:r>
            <w:r>
              <w:rPr>
                <w:rFonts w:ascii="Arial" w:hAnsi="Arial" w:eastAsia="Arial"/>
                <w:b w:val="0"/>
                <w:sz w:val="19"/>
              </w:rPr>
              <w:t>Table</w:t>
            </w:r>
          </w:p>
        </w:tc>
      </w:tr>
      <w:tr>
        <w:tc>
          <w:tcPr>
            <w:tcW w:type="dxa" w:w="5083"/>
            <w:vAlign w:val="top"/>
          </w:tcPr>
          <w:p>
            <w:pPr>
              <w:spacing w:after="0"/>
            </w:pPr>
            <w:r>
              <w:rPr>
                <w:rFonts w:ascii="Arial" w:hAnsi="Arial" w:eastAsia="Arial"/>
                <w:sz w:val="19"/>
              </w:rPr>
            </w:r>
            <w:r>
              <w:rPr>
                <w:rFonts w:ascii="Arial" w:hAnsi="Arial" w:eastAsia="Arial"/>
                <w:b w:val="0"/>
                <w:sz w:val="19"/>
              </w:rPr>
              <w:t>Sales Executive Performance</w:t>
            </w:r>
          </w:p>
        </w:tc>
        <w:tc>
          <w:tcPr>
            <w:tcW w:type="dxa" w:w="5083"/>
            <w:vAlign w:val="top"/>
          </w:tcPr>
          <w:p>
            <w:pPr>
              <w:spacing w:after="0"/>
            </w:pPr>
            <w:r>
              <w:rPr>
                <w:rFonts w:ascii="Arial" w:hAnsi="Arial" w:eastAsia="Arial"/>
                <w:sz w:val="19"/>
              </w:rPr>
            </w:r>
            <w:r>
              <w:rPr>
                <w:rFonts w:ascii="Arial" w:hAnsi="Arial" w:eastAsia="Arial"/>
                <w:b w:val="0"/>
                <w:sz w:val="19"/>
              </w:rPr>
              <w:t>Bar Chart</w:t>
            </w:r>
          </w:p>
        </w:tc>
      </w:tr>
    </w:tbl>
    <w:p/>
    <w:p>
      <w:pPr>
        <w:pStyle w:val="Heading1"/>
      </w:pPr>
      <w:r>
        <w:t>18. Data Loading and Migration Explanation</w:t>
      </w:r>
    </w:p>
    <w:p>
      <w:r>
        <w:t>The company may already have old lead, account, contact, and opportunity data in spreadsheets or another CRM system. This historical data should be migrated into Salesforce using Data Import Wizard or Data Loader.</w:t>
      </w:r>
    </w:p>
    <w:p>
      <w:r>
        <w:t>Important migration checks:</w:t>
      </w:r>
    </w:p>
    <w:p>
      <w:pPr>
        <w:pStyle w:val="ListBullet"/>
      </w:pPr>
      <w:r>
        <w:t>CSV column names should match Salesforce fields.</w:t>
      </w:r>
    </w:p>
    <w:p>
      <w:pPr>
        <w:pStyle w:val="ListBullet"/>
      </w:pPr>
      <w:r>
        <w:t>Required fields should not be blank.</w:t>
      </w:r>
    </w:p>
    <w:p>
      <w:pPr>
        <w:pStyle w:val="ListBullet"/>
      </w:pPr>
      <w:r>
        <w:t>Picklist values should match configured Salesforce values.</w:t>
      </w:r>
    </w:p>
    <w:p>
      <w:pPr>
        <w:pStyle w:val="ListBullet"/>
      </w:pPr>
      <w:r>
        <w:t>Duplicate records should be checked before import.</w:t>
      </w:r>
    </w:p>
    <w:p>
      <w:pPr>
        <w:pStyle w:val="ListBullet"/>
      </w:pPr>
      <w:r>
        <w:t>Import success and error files should be reviewed.</w:t>
      </w:r>
    </w:p>
    <w:p>
      <w:pPr>
        <w:pStyle w:val="ListBullet"/>
      </w:pPr>
      <w:r>
        <w:t>Field mapping should be documented clearly.</w:t>
      </w:r>
    </w:p>
    <w:p>
      <w:r>
        <w:t>Good data migration helps the company continue its sales process without losing old customer and pipeline information.</w:t>
      </w:r>
    </w:p>
    <w:p>
      <w:pPr>
        <w:pStyle w:val="Heading1"/>
      </w:pPr>
      <w:r>
        <w:t>19. Testing Explanation</w:t>
      </w:r>
    </w:p>
    <w:p>
      <w:r>
        <w:t>Testing confirms that the Salesforce configuration works correctly. Testing should include normal scenarios, negative scenarios, security checks, approval checks, Flow checks, and report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rFonts w:ascii="Arial" w:hAnsi="Arial" w:eastAsia="Arial"/>
                <w:sz w:val="19"/>
              </w:rPr>
            </w:r>
            <w:r>
              <w:rPr>
                <w:rFonts w:ascii="Arial" w:hAnsi="Arial" w:eastAsia="Arial"/>
                <w:b/>
                <w:color w:val="FFFFFF"/>
                <w:sz w:val="19"/>
              </w:rPr>
              <w:t>Test Case ID</w:t>
            </w:r>
          </w:p>
        </w:tc>
        <w:tc>
          <w:tcPr>
            <w:tcW w:type="dxa" w:w="3389"/>
            <w:shd w:fill="1F4E79"/>
            <w:vAlign w:val="center"/>
          </w:tcPr>
          <w:p>
            <w:pPr>
              <w:spacing w:after="0"/>
            </w:pPr>
            <w:r>
              <w:rPr>
                <w:rFonts w:ascii="Arial" w:hAnsi="Arial" w:eastAsia="Arial"/>
                <w:sz w:val="19"/>
              </w:rPr>
            </w:r>
            <w:r>
              <w:rPr>
                <w:rFonts w:ascii="Arial" w:hAnsi="Arial" w:eastAsia="Arial"/>
                <w:b/>
                <w:color w:val="FFFFFF"/>
                <w:sz w:val="19"/>
              </w:rPr>
              <w:t>Scenario</w:t>
            </w:r>
          </w:p>
        </w:tc>
        <w:tc>
          <w:tcPr>
            <w:tcW w:type="dxa" w:w="3389"/>
            <w:shd w:fill="1F4E79"/>
            <w:vAlign w:val="center"/>
          </w:tcPr>
          <w:p>
            <w:pPr>
              <w:spacing w:after="0"/>
            </w:pPr>
            <w:r>
              <w:rPr>
                <w:rFonts w:ascii="Arial" w:hAnsi="Arial" w:eastAsia="Arial"/>
                <w:sz w:val="19"/>
              </w:rPr>
            </w:r>
            <w:r>
              <w:rPr>
                <w:rFonts w:ascii="Arial" w:hAnsi="Arial" w:eastAsia="Arial"/>
                <w:b/>
                <w:color w:val="FFFFFF"/>
                <w:sz w:val="19"/>
              </w:rPr>
              <w:t>Expected Output</w:t>
            </w:r>
          </w:p>
        </w:tc>
      </w:tr>
      <w:tr>
        <w:tc>
          <w:tcPr>
            <w:tcW w:type="dxa" w:w="3389"/>
            <w:vAlign w:val="top"/>
          </w:tcPr>
          <w:p>
            <w:pPr>
              <w:spacing w:after="0"/>
            </w:pPr>
            <w:r>
              <w:rPr>
                <w:rFonts w:ascii="Arial" w:hAnsi="Arial" w:eastAsia="Arial"/>
                <w:sz w:val="19"/>
              </w:rPr>
            </w:r>
            <w:r>
              <w:rPr>
                <w:rFonts w:ascii="Arial" w:hAnsi="Arial" w:eastAsia="Arial"/>
                <w:b w:val="0"/>
                <w:sz w:val="19"/>
              </w:rPr>
              <w:t>TC01</w:t>
            </w:r>
          </w:p>
        </w:tc>
        <w:tc>
          <w:tcPr>
            <w:tcW w:type="dxa" w:w="3389"/>
            <w:vAlign w:val="top"/>
          </w:tcPr>
          <w:p>
            <w:pPr>
              <w:spacing w:after="0"/>
            </w:pPr>
            <w:r>
              <w:rPr>
                <w:rFonts w:ascii="Arial" w:hAnsi="Arial" w:eastAsia="Arial"/>
                <w:sz w:val="19"/>
              </w:rPr>
            </w:r>
            <w:r>
              <w:rPr>
                <w:rFonts w:ascii="Arial" w:hAnsi="Arial" w:eastAsia="Arial"/>
                <w:b w:val="0"/>
                <w:sz w:val="19"/>
              </w:rPr>
              <w:t>Create a valid lead</w:t>
            </w:r>
          </w:p>
        </w:tc>
        <w:tc>
          <w:tcPr>
            <w:tcW w:type="dxa" w:w="3389"/>
            <w:vAlign w:val="top"/>
          </w:tcPr>
          <w:p>
            <w:pPr>
              <w:spacing w:after="0"/>
            </w:pPr>
            <w:r>
              <w:rPr>
                <w:rFonts w:ascii="Arial" w:hAnsi="Arial" w:eastAsia="Arial"/>
                <w:sz w:val="19"/>
              </w:rPr>
            </w:r>
            <w:r>
              <w:rPr>
                <w:rFonts w:ascii="Arial" w:hAnsi="Arial" w:eastAsia="Arial"/>
                <w:b w:val="0"/>
                <w:sz w:val="19"/>
              </w:rPr>
              <w:t>Lead is saved successfully.</w:t>
            </w:r>
          </w:p>
        </w:tc>
      </w:tr>
      <w:tr>
        <w:tc>
          <w:tcPr>
            <w:tcW w:type="dxa" w:w="3389"/>
            <w:vAlign w:val="top"/>
          </w:tcPr>
          <w:p>
            <w:pPr>
              <w:spacing w:after="0"/>
            </w:pPr>
            <w:r>
              <w:rPr>
                <w:rFonts w:ascii="Arial" w:hAnsi="Arial" w:eastAsia="Arial"/>
                <w:sz w:val="19"/>
              </w:rPr>
            </w:r>
            <w:r>
              <w:rPr>
                <w:rFonts w:ascii="Arial" w:hAnsi="Arial" w:eastAsia="Arial"/>
                <w:b w:val="0"/>
                <w:sz w:val="19"/>
              </w:rPr>
              <w:t>TC02</w:t>
            </w:r>
          </w:p>
        </w:tc>
        <w:tc>
          <w:tcPr>
            <w:tcW w:type="dxa" w:w="3389"/>
            <w:vAlign w:val="top"/>
          </w:tcPr>
          <w:p>
            <w:pPr>
              <w:spacing w:after="0"/>
            </w:pPr>
            <w:r>
              <w:rPr>
                <w:rFonts w:ascii="Arial" w:hAnsi="Arial" w:eastAsia="Arial"/>
                <w:sz w:val="19"/>
              </w:rPr>
            </w:r>
            <w:r>
              <w:rPr>
                <w:rFonts w:ascii="Arial" w:hAnsi="Arial" w:eastAsia="Arial"/>
                <w:b w:val="0"/>
                <w:sz w:val="19"/>
              </w:rPr>
              <w:t>Qualify lead without budget</w:t>
            </w:r>
          </w:p>
        </w:tc>
        <w:tc>
          <w:tcPr>
            <w:tcW w:type="dxa" w:w="3389"/>
            <w:vAlign w:val="top"/>
          </w:tcPr>
          <w:p>
            <w:pPr>
              <w:spacing w:after="0"/>
            </w:pPr>
            <w:r>
              <w:rPr>
                <w:rFonts w:ascii="Arial" w:hAnsi="Arial" w:eastAsia="Arial"/>
                <w:sz w:val="19"/>
              </w:rPr>
            </w:r>
            <w:r>
              <w:rPr>
                <w:rFonts w:ascii="Arial" w:hAnsi="Arial" w:eastAsia="Arial"/>
                <w:b w:val="0"/>
                <w:sz w:val="19"/>
              </w:rPr>
              <w:t>Error message is shown.</w:t>
            </w:r>
          </w:p>
        </w:tc>
      </w:tr>
      <w:tr>
        <w:tc>
          <w:tcPr>
            <w:tcW w:type="dxa" w:w="3389"/>
            <w:vAlign w:val="top"/>
          </w:tcPr>
          <w:p>
            <w:pPr>
              <w:spacing w:after="0"/>
            </w:pPr>
            <w:r>
              <w:rPr>
                <w:rFonts w:ascii="Arial" w:hAnsi="Arial" w:eastAsia="Arial"/>
                <w:sz w:val="19"/>
              </w:rPr>
            </w:r>
            <w:r>
              <w:rPr>
                <w:rFonts w:ascii="Arial" w:hAnsi="Arial" w:eastAsia="Arial"/>
                <w:b w:val="0"/>
                <w:sz w:val="19"/>
              </w:rPr>
              <w:t>TC03</w:t>
            </w:r>
          </w:p>
        </w:tc>
        <w:tc>
          <w:tcPr>
            <w:tcW w:type="dxa" w:w="3389"/>
            <w:vAlign w:val="top"/>
          </w:tcPr>
          <w:p>
            <w:pPr>
              <w:spacing w:after="0"/>
            </w:pPr>
            <w:r>
              <w:rPr>
                <w:rFonts w:ascii="Arial" w:hAnsi="Arial" w:eastAsia="Arial"/>
                <w:sz w:val="19"/>
              </w:rPr>
            </w:r>
            <w:r>
              <w:rPr>
                <w:rFonts w:ascii="Arial" w:hAnsi="Arial" w:eastAsia="Arial"/>
                <w:b w:val="0"/>
                <w:sz w:val="19"/>
              </w:rPr>
              <w:t>Enter past follow-up date</w:t>
            </w:r>
          </w:p>
        </w:tc>
        <w:tc>
          <w:tcPr>
            <w:tcW w:type="dxa" w:w="3389"/>
            <w:vAlign w:val="top"/>
          </w:tcPr>
          <w:p>
            <w:pPr>
              <w:spacing w:after="0"/>
            </w:pPr>
            <w:r>
              <w:rPr>
                <w:rFonts w:ascii="Arial" w:hAnsi="Arial" w:eastAsia="Arial"/>
                <w:sz w:val="19"/>
              </w:rPr>
            </w:r>
            <w:r>
              <w:rPr>
                <w:rFonts w:ascii="Arial" w:hAnsi="Arial" w:eastAsia="Arial"/>
                <w:b w:val="0"/>
                <w:sz w:val="19"/>
              </w:rPr>
              <w:t>Error message is shown.</w:t>
            </w:r>
          </w:p>
        </w:tc>
      </w:tr>
      <w:tr>
        <w:tc>
          <w:tcPr>
            <w:tcW w:type="dxa" w:w="3389"/>
            <w:vAlign w:val="top"/>
          </w:tcPr>
          <w:p>
            <w:pPr>
              <w:spacing w:after="0"/>
            </w:pPr>
            <w:r>
              <w:rPr>
                <w:rFonts w:ascii="Arial" w:hAnsi="Arial" w:eastAsia="Arial"/>
                <w:sz w:val="19"/>
              </w:rPr>
            </w:r>
            <w:r>
              <w:rPr>
                <w:rFonts w:ascii="Arial" w:hAnsi="Arial" w:eastAsia="Arial"/>
                <w:b w:val="0"/>
                <w:sz w:val="19"/>
              </w:rPr>
              <w:t>TC04</w:t>
            </w:r>
          </w:p>
        </w:tc>
        <w:tc>
          <w:tcPr>
            <w:tcW w:type="dxa" w:w="3389"/>
            <w:vAlign w:val="top"/>
          </w:tcPr>
          <w:p>
            <w:pPr>
              <w:spacing w:after="0"/>
            </w:pPr>
            <w:r>
              <w:rPr>
                <w:rFonts w:ascii="Arial" w:hAnsi="Arial" w:eastAsia="Arial"/>
                <w:sz w:val="19"/>
              </w:rPr>
            </w:r>
            <w:r>
              <w:rPr>
                <w:rFonts w:ascii="Arial" w:hAnsi="Arial" w:eastAsia="Arial"/>
                <w:b w:val="0"/>
                <w:sz w:val="19"/>
              </w:rPr>
              <w:t>Create duplicate lead</w:t>
            </w:r>
          </w:p>
        </w:tc>
        <w:tc>
          <w:tcPr>
            <w:tcW w:type="dxa" w:w="3389"/>
            <w:vAlign w:val="top"/>
          </w:tcPr>
          <w:p>
            <w:pPr>
              <w:spacing w:after="0"/>
            </w:pPr>
            <w:r>
              <w:rPr>
                <w:rFonts w:ascii="Arial" w:hAnsi="Arial" w:eastAsia="Arial"/>
                <w:sz w:val="19"/>
              </w:rPr>
            </w:r>
            <w:r>
              <w:rPr>
                <w:rFonts w:ascii="Arial" w:hAnsi="Arial" w:eastAsia="Arial"/>
                <w:b w:val="0"/>
                <w:sz w:val="19"/>
              </w:rPr>
              <w:t>Duplicate warning is shown.</w:t>
            </w:r>
          </w:p>
        </w:tc>
      </w:tr>
      <w:tr>
        <w:tc>
          <w:tcPr>
            <w:tcW w:type="dxa" w:w="3389"/>
            <w:vAlign w:val="top"/>
          </w:tcPr>
          <w:p>
            <w:pPr>
              <w:spacing w:after="0"/>
            </w:pPr>
            <w:r>
              <w:rPr>
                <w:rFonts w:ascii="Arial" w:hAnsi="Arial" w:eastAsia="Arial"/>
                <w:sz w:val="19"/>
              </w:rPr>
            </w:r>
            <w:r>
              <w:rPr>
                <w:rFonts w:ascii="Arial" w:hAnsi="Arial" w:eastAsia="Arial"/>
                <w:b w:val="0"/>
                <w:sz w:val="19"/>
              </w:rPr>
              <w:t>TC05</w:t>
            </w:r>
          </w:p>
        </w:tc>
        <w:tc>
          <w:tcPr>
            <w:tcW w:type="dxa" w:w="3389"/>
            <w:vAlign w:val="top"/>
          </w:tcPr>
          <w:p>
            <w:pPr>
              <w:spacing w:after="0"/>
            </w:pPr>
            <w:r>
              <w:rPr>
                <w:rFonts w:ascii="Arial" w:hAnsi="Arial" w:eastAsia="Arial"/>
                <w:sz w:val="19"/>
              </w:rPr>
            </w:r>
            <w:r>
              <w:rPr>
                <w:rFonts w:ascii="Arial" w:hAnsi="Arial" w:eastAsia="Arial"/>
                <w:b w:val="0"/>
                <w:sz w:val="19"/>
              </w:rPr>
              <w:t>Convert qualified lead</w:t>
            </w:r>
          </w:p>
        </w:tc>
        <w:tc>
          <w:tcPr>
            <w:tcW w:type="dxa" w:w="3389"/>
            <w:vAlign w:val="top"/>
          </w:tcPr>
          <w:p>
            <w:pPr>
              <w:spacing w:after="0"/>
            </w:pPr>
            <w:r>
              <w:rPr>
                <w:rFonts w:ascii="Arial" w:hAnsi="Arial" w:eastAsia="Arial"/>
                <w:sz w:val="19"/>
              </w:rPr>
            </w:r>
            <w:r>
              <w:rPr>
                <w:rFonts w:ascii="Arial" w:hAnsi="Arial" w:eastAsia="Arial"/>
                <w:b w:val="0"/>
                <w:sz w:val="19"/>
              </w:rPr>
              <w:t>Account, Contact, and Opportunity are created.</w:t>
            </w:r>
          </w:p>
        </w:tc>
      </w:tr>
      <w:tr>
        <w:tc>
          <w:tcPr>
            <w:tcW w:type="dxa" w:w="3389"/>
            <w:vAlign w:val="top"/>
          </w:tcPr>
          <w:p>
            <w:pPr>
              <w:spacing w:after="0"/>
            </w:pPr>
            <w:r>
              <w:rPr>
                <w:rFonts w:ascii="Arial" w:hAnsi="Arial" w:eastAsia="Arial"/>
                <w:sz w:val="19"/>
              </w:rPr>
            </w:r>
            <w:r>
              <w:rPr>
                <w:rFonts w:ascii="Arial" w:hAnsi="Arial" w:eastAsia="Arial"/>
                <w:b w:val="0"/>
                <w:sz w:val="19"/>
              </w:rPr>
              <w:t>TC06</w:t>
            </w:r>
          </w:p>
        </w:tc>
        <w:tc>
          <w:tcPr>
            <w:tcW w:type="dxa" w:w="3389"/>
            <w:vAlign w:val="top"/>
          </w:tcPr>
          <w:p>
            <w:pPr>
              <w:spacing w:after="0"/>
            </w:pPr>
            <w:r>
              <w:rPr>
                <w:rFonts w:ascii="Arial" w:hAnsi="Arial" w:eastAsia="Arial"/>
                <w:sz w:val="19"/>
              </w:rPr>
            </w:r>
            <w:r>
              <w:rPr>
                <w:rFonts w:ascii="Arial" w:hAnsi="Arial" w:eastAsia="Arial"/>
                <w:b w:val="0"/>
                <w:sz w:val="19"/>
              </w:rPr>
              <w:t>Submit high-value opportunity</w:t>
            </w:r>
          </w:p>
        </w:tc>
        <w:tc>
          <w:tcPr>
            <w:tcW w:type="dxa" w:w="3389"/>
            <w:vAlign w:val="top"/>
          </w:tcPr>
          <w:p>
            <w:pPr>
              <w:spacing w:after="0"/>
            </w:pPr>
            <w:r>
              <w:rPr>
                <w:rFonts w:ascii="Arial" w:hAnsi="Arial" w:eastAsia="Arial"/>
                <w:sz w:val="19"/>
              </w:rPr>
            </w:r>
            <w:r>
              <w:rPr>
                <w:rFonts w:ascii="Arial" w:hAnsi="Arial" w:eastAsia="Arial"/>
                <w:b w:val="0"/>
                <w:sz w:val="19"/>
              </w:rPr>
              <w:t>Approval request goes to Sales Manager.</w:t>
            </w:r>
          </w:p>
        </w:tc>
      </w:tr>
      <w:tr>
        <w:tc>
          <w:tcPr>
            <w:tcW w:type="dxa" w:w="3389"/>
            <w:vAlign w:val="top"/>
          </w:tcPr>
          <w:p>
            <w:pPr>
              <w:spacing w:after="0"/>
            </w:pPr>
            <w:r>
              <w:rPr>
                <w:rFonts w:ascii="Arial" w:hAnsi="Arial" w:eastAsia="Arial"/>
                <w:sz w:val="19"/>
              </w:rPr>
            </w:r>
            <w:r>
              <w:rPr>
                <w:rFonts w:ascii="Arial" w:hAnsi="Arial" w:eastAsia="Arial"/>
                <w:b w:val="0"/>
                <w:sz w:val="19"/>
              </w:rPr>
              <w:t>TC07</w:t>
            </w:r>
          </w:p>
        </w:tc>
        <w:tc>
          <w:tcPr>
            <w:tcW w:type="dxa" w:w="3389"/>
            <w:vAlign w:val="top"/>
          </w:tcPr>
          <w:p>
            <w:pPr>
              <w:spacing w:after="0"/>
            </w:pPr>
            <w:r>
              <w:rPr>
                <w:rFonts w:ascii="Arial" w:hAnsi="Arial" w:eastAsia="Arial"/>
                <w:sz w:val="19"/>
              </w:rPr>
            </w:r>
            <w:r>
              <w:rPr>
                <w:rFonts w:ascii="Arial" w:hAnsi="Arial" w:eastAsia="Arial"/>
                <w:b w:val="0"/>
                <w:sz w:val="19"/>
              </w:rPr>
              <w:t>Approve opportunity</w:t>
            </w:r>
          </w:p>
        </w:tc>
        <w:tc>
          <w:tcPr>
            <w:tcW w:type="dxa" w:w="3389"/>
            <w:vAlign w:val="top"/>
          </w:tcPr>
          <w:p>
            <w:pPr>
              <w:spacing w:after="0"/>
            </w:pPr>
            <w:r>
              <w:rPr>
                <w:rFonts w:ascii="Arial" w:hAnsi="Arial" w:eastAsia="Arial"/>
                <w:sz w:val="19"/>
              </w:rPr>
            </w:r>
            <w:r>
              <w:rPr>
                <w:rFonts w:ascii="Arial" w:hAnsi="Arial" w:eastAsia="Arial"/>
                <w:b w:val="0"/>
                <w:sz w:val="19"/>
              </w:rPr>
              <w:t>Approval Status becomes Approved.</w:t>
            </w:r>
          </w:p>
        </w:tc>
      </w:tr>
      <w:tr>
        <w:tc>
          <w:tcPr>
            <w:tcW w:type="dxa" w:w="3389"/>
            <w:vAlign w:val="top"/>
          </w:tcPr>
          <w:p>
            <w:pPr>
              <w:spacing w:after="0"/>
            </w:pPr>
            <w:r>
              <w:rPr>
                <w:rFonts w:ascii="Arial" w:hAnsi="Arial" w:eastAsia="Arial"/>
                <w:sz w:val="19"/>
              </w:rPr>
            </w:r>
            <w:r>
              <w:rPr>
                <w:rFonts w:ascii="Arial" w:hAnsi="Arial" w:eastAsia="Arial"/>
                <w:b w:val="0"/>
                <w:sz w:val="19"/>
              </w:rPr>
              <w:t>TC08</w:t>
            </w:r>
          </w:p>
        </w:tc>
        <w:tc>
          <w:tcPr>
            <w:tcW w:type="dxa" w:w="3389"/>
            <w:vAlign w:val="top"/>
          </w:tcPr>
          <w:p>
            <w:pPr>
              <w:spacing w:after="0"/>
            </w:pPr>
            <w:r>
              <w:rPr>
                <w:rFonts w:ascii="Arial" w:hAnsi="Arial" w:eastAsia="Arial"/>
                <w:sz w:val="19"/>
              </w:rPr>
            </w:r>
            <w:r>
              <w:rPr>
                <w:rFonts w:ascii="Arial" w:hAnsi="Arial" w:eastAsia="Arial"/>
                <w:b w:val="0"/>
                <w:sz w:val="19"/>
              </w:rPr>
              <w:t>Change opportunity to Closed Won</w:t>
            </w:r>
          </w:p>
        </w:tc>
        <w:tc>
          <w:tcPr>
            <w:tcW w:type="dxa" w:w="3389"/>
            <w:vAlign w:val="top"/>
          </w:tcPr>
          <w:p>
            <w:pPr>
              <w:spacing w:after="0"/>
            </w:pPr>
            <w:r>
              <w:rPr>
                <w:rFonts w:ascii="Arial" w:hAnsi="Arial" w:eastAsia="Arial"/>
                <w:sz w:val="19"/>
              </w:rPr>
            </w:r>
            <w:r>
              <w:rPr>
                <w:rFonts w:ascii="Arial" w:hAnsi="Arial" w:eastAsia="Arial"/>
                <w:b w:val="0"/>
                <w:sz w:val="19"/>
              </w:rPr>
              <w:t>Onboarding task is created.</w:t>
            </w:r>
          </w:p>
        </w:tc>
      </w:tr>
      <w:tr>
        <w:tc>
          <w:tcPr>
            <w:tcW w:type="dxa" w:w="3389"/>
            <w:vAlign w:val="top"/>
          </w:tcPr>
          <w:p>
            <w:pPr>
              <w:spacing w:after="0"/>
            </w:pPr>
            <w:r>
              <w:rPr>
                <w:rFonts w:ascii="Arial" w:hAnsi="Arial" w:eastAsia="Arial"/>
                <w:sz w:val="19"/>
              </w:rPr>
            </w:r>
            <w:r>
              <w:rPr>
                <w:rFonts w:ascii="Arial" w:hAnsi="Arial" w:eastAsia="Arial"/>
                <w:b w:val="0"/>
                <w:sz w:val="19"/>
              </w:rPr>
              <w:t>TC09</w:t>
            </w:r>
          </w:p>
        </w:tc>
        <w:tc>
          <w:tcPr>
            <w:tcW w:type="dxa" w:w="3389"/>
            <w:vAlign w:val="top"/>
          </w:tcPr>
          <w:p>
            <w:pPr>
              <w:spacing w:after="0"/>
            </w:pPr>
            <w:r>
              <w:rPr>
                <w:rFonts w:ascii="Arial" w:hAnsi="Arial" w:eastAsia="Arial"/>
                <w:sz w:val="19"/>
              </w:rPr>
            </w:r>
            <w:r>
              <w:rPr>
                <w:rFonts w:ascii="Arial" w:hAnsi="Arial" w:eastAsia="Arial"/>
                <w:b w:val="0"/>
                <w:sz w:val="19"/>
              </w:rPr>
              <w:t>Open report</w:t>
            </w:r>
          </w:p>
        </w:tc>
        <w:tc>
          <w:tcPr>
            <w:tcW w:type="dxa" w:w="3389"/>
            <w:vAlign w:val="top"/>
          </w:tcPr>
          <w:p>
            <w:pPr>
              <w:spacing w:after="0"/>
            </w:pPr>
            <w:r>
              <w:rPr>
                <w:rFonts w:ascii="Arial" w:hAnsi="Arial" w:eastAsia="Arial"/>
                <w:sz w:val="19"/>
              </w:rPr>
            </w:r>
            <w:r>
              <w:rPr>
                <w:rFonts w:ascii="Arial" w:hAnsi="Arial" w:eastAsia="Arial"/>
                <w:b w:val="0"/>
                <w:sz w:val="19"/>
              </w:rPr>
              <w:t>Report displays correct data.</w:t>
            </w:r>
          </w:p>
        </w:tc>
      </w:tr>
      <w:tr>
        <w:tc>
          <w:tcPr>
            <w:tcW w:type="dxa" w:w="3389"/>
            <w:vAlign w:val="top"/>
          </w:tcPr>
          <w:p>
            <w:pPr>
              <w:spacing w:after="0"/>
            </w:pPr>
            <w:r>
              <w:rPr>
                <w:rFonts w:ascii="Arial" w:hAnsi="Arial" w:eastAsia="Arial"/>
                <w:sz w:val="19"/>
              </w:rPr>
            </w:r>
            <w:r>
              <w:rPr>
                <w:rFonts w:ascii="Arial" w:hAnsi="Arial" w:eastAsia="Arial"/>
                <w:b w:val="0"/>
                <w:sz w:val="19"/>
              </w:rPr>
              <w:t>TC10</w:t>
            </w:r>
          </w:p>
        </w:tc>
        <w:tc>
          <w:tcPr>
            <w:tcW w:type="dxa" w:w="3389"/>
            <w:vAlign w:val="top"/>
          </w:tcPr>
          <w:p>
            <w:pPr>
              <w:spacing w:after="0"/>
            </w:pPr>
            <w:r>
              <w:rPr>
                <w:rFonts w:ascii="Arial" w:hAnsi="Arial" w:eastAsia="Arial"/>
                <w:sz w:val="19"/>
              </w:rPr>
            </w:r>
            <w:r>
              <w:rPr>
                <w:rFonts w:ascii="Arial" w:hAnsi="Arial" w:eastAsia="Arial"/>
                <w:b w:val="0"/>
                <w:sz w:val="19"/>
              </w:rPr>
              <w:t>Open dashboard</w:t>
            </w:r>
          </w:p>
        </w:tc>
        <w:tc>
          <w:tcPr>
            <w:tcW w:type="dxa" w:w="3389"/>
            <w:vAlign w:val="top"/>
          </w:tcPr>
          <w:p>
            <w:pPr>
              <w:spacing w:after="0"/>
            </w:pPr>
            <w:r>
              <w:rPr>
                <w:rFonts w:ascii="Arial" w:hAnsi="Arial" w:eastAsia="Arial"/>
                <w:sz w:val="19"/>
              </w:rPr>
            </w:r>
            <w:r>
              <w:rPr>
                <w:rFonts w:ascii="Arial" w:hAnsi="Arial" w:eastAsia="Arial"/>
                <w:b w:val="0"/>
                <w:sz w:val="19"/>
              </w:rPr>
              <w:t>Dashboard displays correct charts.</w:t>
            </w:r>
          </w:p>
        </w:tc>
      </w:tr>
    </w:tbl>
    <w:p/>
    <w:p>
      <w:pPr>
        <w:pStyle w:val="Heading1"/>
      </w:pPr>
      <w:r>
        <w:t>20. Deliverables for the Case Study</w:t>
      </w:r>
    </w:p>
    <w:p>
      <w:r>
        <w:t>The final evidence pack should contain:</w:t>
      </w:r>
    </w:p>
    <w:p>
      <w:pPr>
        <w:pStyle w:val="ListBullet"/>
      </w:pPr>
      <w:r>
        <w:t>Case study explanation document</w:t>
      </w:r>
    </w:p>
    <w:p>
      <w:pPr>
        <w:pStyle w:val="ListBullet"/>
      </w:pPr>
      <w:r>
        <w:t>Requirement breakup and solution mapping</w:t>
      </w:r>
    </w:p>
    <w:p>
      <w:pPr>
        <w:pStyle w:val="ListBullet"/>
      </w:pPr>
      <w:r>
        <w:t>Lead object field list and screenshots</w:t>
      </w:r>
    </w:p>
    <w:p>
      <w:pPr>
        <w:pStyle w:val="ListBullet"/>
      </w:pPr>
      <w:r>
        <w:t>Page layout screenshots</w:t>
      </w:r>
    </w:p>
    <w:p>
      <w:pPr>
        <w:pStyle w:val="ListBullet"/>
      </w:pPr>
      <w:r>
        <w:t>Validation rule screenshots</w:t>
      </w:r>
    </w:p>
    <w:p>
      <w:pPr>
        <w:pStyle w:val="ListBullet"/>
      </w:pPr>
      <w:r>
        <w:t>Assignment rule screenshots</w:t>
      </w:r>
    </w:p>
    <w:p>
      <w:pPr>
        <w:pStyle w:val="ListBullet"/>
      </w:pPr>
      <w:r>
        <w:t>Duplicate rule screenshots</w:t>
      </w:r>
    </w:p>
    <w:p>
      <w:pPr>
        <w:pStyle w:val="ListBullet"/>
      </w:pPr>
      <w:r>
        <w:t>Lead conversion screenshots</w:t>
      </w:r>
    </w:p>
    <w:p>
      <w:pPr>
        <w:pStyle w:val="ListBullet"/>
      </w:pPr>
      <w:r>
        <w:t>Account, Contact, and Opportunity screenshots</w:t>
      </w:r>
    </w:p>
    <w:p>
      <w:pPr>
        <w:pStyle w:val="ListBullet"/>
      </w:pPr>
      <w:r>
        <w:t>Opportunity stage and approval process screenshots</w:t>
      </w:r>
    </w:p>
    <w:p>
      <w:pPr>
        <w:pStyle w:val="ListBullet"/>
      </w:pPr>
      <w:r>
        <w:t>Flow automation screenshots</w:t>
      </w:r>
    </w:p>
    <w:p>
      <w:pPr>
        <w:pStyle w:val="ListBullet"/>
      </w:pPr>
      <w:r>
        <w:t>Reports and dashboard screenshots</w:t>
      </w:r>
    </w:p>
    <w:p>
      <w:pPr>
        <w:pStyle w:val="ListBullet"/>
      </w:pPr>
      <w:r>
        <w:t>Sample data or demo records</w:t>
      </w:r>
    </w:p>
    <w:p>
      <w:pPr>
        <w:pStyle w:val="ListBullet"/>
      </w:pPr>
      <w:r>
        <w:t>Test cases with results</w:t>
      </w:r>
    </w:p>
    <w:p>
      <w:pPr>
        <w:pStyle w:val="ListBullet"/>
      </w:pPr>
      <w:r>
        <w:t>Deployment or release checklist</w:t>
      </w:r>
    </w:p>
    <w:p>
      <w:pPr>
        <w:pStyle w:val="ListBullet"/>
      </w:pPr>
      <w:r>
        <w:t>Support runbook</w:t>
      </w:r>
    </w:p>
    <w:p>
      <w:pPr>
        <w:pStyle w:val="ListBullet"/>
      </w:pPr>
      <w:r>
        <w:t>Final presentation</w:t>
      </w:r>
    </w:p>
    <w:p>
      <w:pPr>
        <w:pStyle w:val="Heading1"/>
      </w:pPr>
      <w:r>
        <w:t>21. Real-Time Constraints</w:t>
      </w:r>
    </w:p>
    <w:p>
      <w:r>
        <w:t>The case study is designed like a production-style implementation. The company expects the solution to be delivered in a phased go-live model. Historical data must be migrated with a clear mapping sheet. UAT sign-off is required from sales, support, and compliance teams.</w:t>
      </w:r>
    </w:p>
    <w:p>
      <w:r>
        <w:t>The implementation should follow a no-code or low-code first approach. Salesforce standard configuration, Flow, approval process, validation rules, reports, dashboards, profiles, roles, and permission sets should be used wherever possible. Custom code should be avoided unless there is a strong documented reason.</w:t>
      </w:r>
    </w:p>
    <w:p>
      <w:pPr>
        <w:pStyle w:val="Heading1"/>
      </w:pPr>
      <w:r>
        <w:t>22. Evaluation KPIs</w:t>
      </w:r>
    </w:p>
    <w:p>
      <w:r>
        <w:t>The success of the Salesforce implementation can be measured using these KPIs:</w:t>
      </w:r>
    </w:p>
    <w:p>
      <w:pPr>
        <w:pStyle w:val="ListBullet"/>
      </w:pPr>
      <w:r>
        <w:t>Lead conversion time</w:t>
      </w:r>
    </w:p>
    <w:p>
      <w:pPr>
        <w:pStyle w:val="ListBullet"/>
      </w:pPr>
      <w:r>
        <w:t>Lead assignment accuracy</w:t>
      </w:r>
    </w:p>
    <w:p>
      <w:pPr>
        <w:pStyle w:val="ListBullet"/>
      </w:pPr>
      <w:r>
        <w:t>Duplicate rate after data cleansing</w:t>
      </w:r>
    </w:p>
    <w:p>
      <w:pPr>
        <w:pStyle w:val="ListBullet"/>
      </w:pPr>
      <w:r>
        <w:t>Follow-up SLA adherence</w:t>
      </w:r>
    </w:p>
    <w:p>
      <w:pPr>
        <w:pStyle w:val="ListBullet"/>
      </w:pPr>
      <w:r>
        <w:t>Approval turnaround time</w:t>
      </w:r>
    </w:p>
    <w:p>
      <w:pPr>
        <w:pStyle w:val="ListBullet"/>
      </w:pPr>
      <w:r>
        <w:t>Report accuracy</w:t>
      </w:r>
    </w:p>
    <w:p>
      <w:pPr>
        <w:pStyle w:val="ListBullet"/>
      </w:pPr>
      <w:r>
        <w:t>Dashboard adoption</w:t>
      </w:r>
    </w:p>
    <w:p>
      <w:pPr>
        <w:pStyle w:val="ListBullet"/>
      </w:pPr>
      <w:r>
        <w:t>Sales user adoption</w:t>
      </w:r>
    </w:p>
    <w:p>
      <w:pPr>
        <w:pStyle w:val="ListBullet"/>
      </w:pPr>
      <w:r>
        <w:t>Opportunity pipeline visibility</w:t>
      </w:r>
    </w:p>
    <w:p>
      <w:pPr>
        <w:pStyle w:val="ListBullet"/>
      </w:pPr>
      <w:r>
        <w:t>Data completeness and quality</w:t>
      </w:r>
    </w:p>
    <w:p>
      <w:r>
        <w:t>These KPIs show whether the Salesforce solution is improving the company sales process and helping managers take better decisions.</w:t>
      </w:r>
    </w:p>
    <w:p>
      <w:pPr>
        <w:pStyle w:val="Heading1"/>
      </w:pPr>
      <w:r>
        <w:t>23. Final Understanding Summary</w:t>
      </w:r>
    </w:p>
    <w:p>
      <w:r>
        <w:t>This case study explains how Salesforce can be configured to manage the complete lead-to-opportunity lifecycle for a B2B SaaS company. The process starts with lead creation and continues through assignment, follow-up, qualification, duplicate prevention, conversion, opportunity tracking, approval, automation, reporting, and dashboard monitoring.</w:t>
      </w:r>
    </w:p>
    <w:p>
      <w:r>
        <w:t>The Salesforce Administrator is responsible for converting the business problem into a working CRM solution. The solution should support clean data, proper access control, accurate reporting, reduced manual work, and management visibility. The final output should be tested, documented, and ready for handover.</w:t>
      </w:r>
    </w:p>
    <w:p>
      <w:r>
        <w:rPr>
          <w:b/>
        </w:rPr>
        <w:t xml:space="preserve">One-line summary: </w:t>
      </w:r>
      <w:r>
        <w:t>This case study teaches how to configure Salesforce to manage leads, convert them into opportunities, control high-value deal approvals, automate follow-ups, secure sales data, and monitor performance using reports and dashboards.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Salesforce Certified Administrator CRT - Case Study 1 Complete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