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1E1" w:rsidRPr="006C65F7" w:rsidRDefault="00CD71E1" w:rsidP="00CD71E1">
      <w:pPr>
        <w:pStyle w:val="Default"/>
      </w:pPr>
    </w:p>
    <w:p w:rsidR="00CD71E1" w:rsidRPr="006C65F7" w:rsidRDefault="00CD71E1" w:rsidP="00CD71E1">
      <w:pPr>
        <w:pStyle w:val="Default"/>
        <w:jc w:val="center"/>
        <w:rPr>
          <w:sz w:val="44"/>
          <w:szCs w:val="44"/>
        </w:rPr>
      </w:pPr>
      <w:r w:rsidRPr="006C65F7">
        <w:rPr>
          <w:rFonts w:eastAsia="新細明體"/>
          <w:b/>
          <w:sz w:val="44"/>
          <w:szCs w:val="44"/>
        </w:rPr>
        <w:t>Th</w:t>
      </w:r>
      <w:r w:rsidRPr="006C65F7">
        <w:rPr>
          <w:b/>
          <w:sz w:val="44"/>
          <w:szCs w:val="44"/>
        </w:rPr>
        <w:t xml:space="preserve">e Shanghai Commercial &amp; Savings </w:t>
      </w:r>
      <w:r w:rsidRPr="006C65F7">
        <w:rPr>
          <w:rFonts w:eastAsia="新細明體"/>
          <w:b/>
          <w:sz w:val="44"/>
          <w:szCs w:val="44"/>
        </w:rPr>
        <w:t>Bank</w:t>
      </w:r>
    </w:p>
    <w:p w:rsidR="00CD71E1" w:rsidRPr="006C65F7" w:rsidRDefault="00CD71E1" w:rsidP="00CD71E1">
      <w:pPr>
        <w:pStyle w:val="Default"/>
        <w:jc w:val="center"/>
        <w:rPr>
          <w:sz w:val="44"/>
          <w:szCs w:val="44"/>
        </w:rPr>
      </w:pPr>
      <w:r w:rsidRPr="006C65F7">
        <w:rPr>
          <w:b/>
          <w:bCs/>
          <w:sz w:val="44"/>
          <w:szCs w:val="44"/>
        </w:rPr>
        <w:t>Tax Governance Policy</w:t>
      </w:r>
    </w:p>
    <w:p w:rsidR="00CD71E1" w:rsidRPr="006C65F7" w:rsidRDefault="00CD71E1" w:rsidP="00CD71E1">
      <w:pPr>
        <w:pStyle w:val="Default"/>
        <w:jc w:val="right"/>
        <w:rPr>
          <w:sz w:val="20"/>
          <w:szCs w:val="20"/>
        </w:rPr>
      </w:pPr>
      <w:r w:rsidRPr="006C65F7">
        <w:rPr>
          <w:sz w:val="20"/>
          <w:szCs w:val="20"/>
        </w:rPr>
        <w:t>Established on June XX, 2020</w:t>
      </w:r>
    </w:p>
    <w:p w:rsidR="00CD71E1" w:rsidRPr="006C65F7" w:rsidRDefault="00CD71E1" w:rsidP="00CD71E1">
      <w:pPr>
        <w:pStyle w:val="Default"/>
        <w:jc w:val="right"/>
        <w:rPr>
          <w:sz w:val="20"/>
          <w:szCs w:val="20"/>
        </w:rPr>
      </w:pPr>
      <w:r w:rsidRPr="006C65F7">
        <w:rPr>
          <w:sz w:val="20"/>
          <w:szCs w:val="20"/>
        </w:rPr>
        <w:t xml:space="preserve">Competent Authority: </w:t>
      </w:r>
      <w:r w:rsidR="006C65F7" w:rsidRPr="006C65F7">
        <w:rPr>
          <w:sz w:val="20"/>
          <w:szCs w:val="20"/>
        </w:rPr>
        <w:t>A</w:t>
      </w:r>
      <w:r w:rsidR="006C65F7">
        <w:rPr>
          <w:sz w:val="20"/>
          <w:szCs w:val="20"/>
        </w:rPr>
        <w:t xml:space="preserve">ccounting </w:t>
      </w:r>
      <w:r w:rsidR="006C65F7">
        <w:rPr>
          <w:rFonts w:hint="eastAsia"/>
          <w:sz w:val="20"/>
          <w:szCs w:val="20"/>
        </w:rPr>
        <w:t>D</w:t>
      </w:r>
      <w:r w:rsidR="006C65F7" w:rsidRPr="006C65F7">
        <w:rPr>
          <w:sz w:val="20"/>
          <w:szCs w:val="20"/>
        </w:rPr>
        <w:t>epartment</w:t>
      </w:r>
      <w:r w:rsidRPr="006C65F7">
        <w:rPr>
          <w:sz w:val="20"/>
          <w:szCs w:val="20"/>
        </w:rPr>
        <w:t xml:space="preserve"> </w:t>
      </w:r>
    </w:p>
    <w:p w:rsidR="00CD71E1" w:rsidRDefault="00CD71E1" w:rsidP="00CD71E1">
      <w:pPr>
        <w:pStyle w:val="Default"/>
        <w:rPr>
          <w:sz w:val="26"/>
          <w:szCs w:val="26"/>
        </w:rPr>
      </w:pPr>
    </w:p>
    <w:p w:rsidR="00B51211" w:rsidRDefault="00B51211" w:rsidP="00CD71E1">
      <w:pPr>
        <w:pStyle w:val="Default"/>
        <w:rPr>
          <w:sz w:val="26"/>
          <w:szCs w:val="26"/>
        </w:rPr>
      </w:pPr>
    </w:p>
    <w:p w:rsidR="00CD71E1" w:rsidRPr="00B51211" w:rsidRDefault="005F3C81" w:rsidP="00B51211">
      <w:pPr>
        <w:pStyle w:val="Default"/>
        <w:jc w:val="center"/>
        <w:rPr>
          <w:b/>
          <w:sz w:val="28"/>
          <w:szCs w:val="28"/>
        </w:rPr>
      </w:pPr>
      <w:r w:rsidRPr="00B51211">
        <w:rPr>
          <w:b/>
          <w:sz w:val="28"/>
          <w:szCs w:val="28"/>
        </w:rPr>
        <w:t>Chapter I. General Provisions</w:t>
      </w:r>
    </w:p>
    <w:p w:rsidR="00B51211" w:rsidRPr="006C65F7" w:rsidRDefault="00B51211" w:rsidP="00B51211">
      <w:pPr>
        <w:pStyle w:val="Default"/>
        <w:jc w:val="center"/>
        <w:rPr>
          <w:b/>
          <w:sz w:val="26"/>
          <w:szCs w:val="26"/>
        </w:rPr>
      </w:pPr>
    </w:p>
    <w:p w:rsidR="005F3C81" w:rsidRPr="00B51211" w:rsidRDefault="00CD71E1" w:rsidP="00B51211">
      <w:pPr>
        <w:autoSpaceDE w:val="0"/>
        <w:autoSpaceDN w:val="0"/>
        <w:adjustRightInd w:val="0"/>
        <w:ind w:left="966" w:right="-168" w:hanging="966"/>
        <w:rPr>
          <w:rFonts w:ascii="Times New Roman" w:hAnsi="Times New Roman" w:cs="Times New Roman"/>
          <w:kern w:val="0"/>
          <w:szCs w:val="24"/>
        </w:rPr>
      </w:pPr>
      <w:r w:rsidRPr="00B51211">
        <w:rPr>
          <w:rFonts w:ascii="Times New Roman" w:hAnsi="Times New Roman" w:cs="Times New Roman"/>
          <w:szCs w:val="24"/>
        </w:rPr>
        <w:t>Article 1.</w:t>
      </w:r>
      <w:r w:rsidR="00843B29" w:rsidRPr="00B51211">
        <w:rPr>
          <w:rFonts w:ascii="Times New Roman" w:hAnsi="Times New Roman" w:cs="Times New Roman"/>
          <w:kern w:val="0"/>
          <w:szCs w:val="24"/>
        </w:rPr>
        <w:t>This tax governance policy (hereinafter referred to as the "Policy")</w:t>
      </w:r>
      <w:r w:rsidR="00B51211">
        <w:rPr>
          <w:rFonts w:ascii="Times New Roman" w:hAnsi="Times New Roman" w:cs="Times New Roman" w:hint="eastAsia"/>
          <w:kern w:val="0"/>
          <w:szCs w:val="24"/>
        </w:rPr>
        <w:t xml:space="preserve"> </w:t>
      </w:r>
      <w:r w:rsidR="00843B29" w:rsidRPr="00B51211">
        <w:rPr>
          <w:rFonts w:ascii="Times New Roman" w:hAnsi="Times New Roman" w:cs="Times New Roman"/>
          <w:kern w:val="0"/>
          <w:szCs w:val="24"/>
        </w:rPr>
        <w:t>established by</w:t>
      </w:r>
      <w:r w:rsidR="00843B29" w:rsidRPr="00B51211">
        <w:rPr>
          <w:rFonts w:ascii="Times New Roman" w:eastAsia="F1" w:hAnsi="Times New Roman" w:cs="Times New Roman"/>
          <w:kern w:val="0"/>
          <w:szCs w:val="24"/>
        </w:rPr>
        <w:t xml:space="preserve"> </w:t>
      </w:r>
      <w:r w:rsidR="00502824" w:rsidRPr="00B51211">
        <w:rPr>
          <w:rFonts w:ascii="Times New Roman" w:eastAsia="F1" w:hAnsi="Times New Roman" w:cs="Times New Roman"/>
          <w:kern w:val="0"/>
          <w:szCs w:val="24"/>
        </w:rPr>
        <w:t>The Shanghai Commercial &amp; Savings</w:t>
      </w:r>
      <w:r w:rsidR="005F3C81" w:rsidRPr="00B51211">
        <w:rPr>
          <w:rFonts w:ascii="Times New Roman" w:eastAsia="F1" w:hAnsi="Times New Roman" w:cs="Times New Roman"/>
          <w:kern w:val="0"/>
          <w:szCs w:val="24"/>
        </w:rPr>
        <w:t xml:space="preserve"> </w:t>
      </w:r>
      <w:r w:rsidR="00502824" w:rsidRPr="00B51211">
        <w:rPr>
          <w:rFonts w:ascii="Times New Roman" w:eastAsia="F1" w:hAnsi="Times New Roman" w:cs="Times New Roman"/>
          <w:kern w:val="0"/>
          <w:szCs w:val="24"/>
        </w:rPr>
        <w:t>Bank, Ltd.</w:t>
      </w:r>
      <w:r w:rsidRPr="00B51211">
        <w:rPr>
          <w:rFonts w:ascii="Times New Roman" w:hAnsi="Times New Roman" w:cs="Times New Roman"/>
          <w:szCs w:val="24"/>
        </w:rPr>
        <w:t xml:space="preserve"> (hereinafter referred to as "</w:t>
      </w:r>
      <w:r w:rsidR="00502824" w:rsidRPr="00B51211">
        <w:rPr>
          <w:rFonts w:ascii="Times New Roman" w:eastAsia="F1" w:hAnsi="Times New Roman" w:cs="Times New Roman"/>
          <w:kern w:val="0"/>
          <w:szCs w:val="24"/>
        </w:rPr>
        <w:t>Bank</w:t>
      </w:r>
      <w:r w:rsidR="00502824" w:rsidRPr="00B51211">
        <w:rPr>
          <w:rFonts w:ascii="Times New Roman" w:hAnsi="Times New Roman" w:cs="Times New Roman"/>
          <w:szCs w:val="24"/>
        </w:rPr>
        <w:t xml:space="preserve"> </w:t>
      </w:r>
      <w:r w:rsidRPr="00B51211">
        <w:rPr>
          <w:rFonts w:ascii="Times New Roman" w:hAnsi="Times New Roman" w:cs="Times New Roman"/>
          <w:szCs w:val="24"/>
        </w:rPr>
        <w:t>")</w:t>
      </w:r>
      <w:r w:rsidR="005F3C81" w:rsidRPr="00B51211">
        <w:rPr>
          <w:rFonts w:ascii="Times New Roman" w:hAnsi="Times New Roman" w:cs="Times New Roman"/>
          <w:kern w:val="0"/>
          <w:szCs w:val="24"/>
        </w:rPr>
        <w:t xml:space="preserve"> in</w:t>
      </w:r>
      <w:r w:rsidR="00557AD0">
        <w:rPr>
          <w:rFonts w:ascii="Times New Roman" w:hAnsi="Times New Roman" w:cs="Times New Roman" w:hint="eastAsia"/>
          <w:kern w:val="0"/>
          <w:szCs w:val="24"/>
        </w:rPr>
        <w:t xml:space="preserve"> the</w:t>
      </w:r>
      <w:r w:rsidR="005F3C81" w:rsidRPr="00B51211">
        <w:rPr>
          <w:rFonts w:ascii="Times New Roman" w:hAnsi="Times New Roman" w:cs="Times New Roman"/>
          <w:kern w:val="0"/>
          <w:szCs w:val="24"/>
        </w:rPr>
        <w:t xml:space="preserve"> response to the international trend of adopting tax governance and</w:t>
      </w:r>
      <w:r w:rsidR="009E029E" w:rsidRPr="00B51211">
        <w:rPr>
          <w:rFonts w:ascii="Times New Roman" w:hAnsi="Times New Roman" w:cs="Times New Roman"/>
          <w:szCs w:val="24"/>
        </w:rPr>
        <w:t xml:space="preserve"> implement sustainable development of</w:t>
      </w:r>
      <w:r w:rsidR="007947CC" w:rsidRPr="00B51211">
        <w:rPr>
          <w:rFonts w:ascii="Times New Roman" w:hAnsi="Times New Roman" w:cs="Times New Roman"/>
          <w:szCs w:val="24"/>
        </w:rPr>
        <w:t xml:space="preserve"> corporate</w:t>
      </w:r>
      <w:r w:rsidR="009E029E" w:rsidRPr="00B51211">
        <w:rPr>
          <w:rFonts w:ascii="Times New Roman" w:hAnsi="Times New Roman" w:cs="Times New Roman"/>
          <w:szCs w:val="24"/>
        </w:rPr>
        <w:t>.</w:t>
      </w:r>
    </w:p>
    <w:p w:rsidR="00CD71E1" w:rsidRPr="00B51211" w:rsidRDefault="00CD71E1" w:rsidP="00B51211">
      <w:pPr>
        <w:pStyle w:val="Default"/>
        <w:ind w:left="966" w:hanging="966"/>
      </w:pPr>
    </w:p>
    <w:p w:rsidR="00CD71E1" w:rsidRPr="00B51211" w:rsidRDefault="00B51211" w:rsidP="00CD71E1">
      <w:pPr>
        <w:pStyle w:val="Default"/>
      </w:pPr>
      <w:r>
        <w:t>Article 2.</w:t>
      </w:r>
      <w:r w:rsidR="00557AD0">
        <w:rPr>
          <w:rFonts w:hint="eastAsia"/>
        </w:rPr>
        <w:t>The Bank and a</w:t>
      </w:r>
      <w:r w:rsidR="00CD71E1" w:rsidRPr="00B51211">
        <w:t xml:space="preserve">ll </w:t>
      </w:r>
      <w:r w:rsidR="001A72BB" w:rsidRPr="00B51211">
        <w:t xml:space="preserve">domestic and foreign </w:t>
      </w:r>
      <w:r w:rsidR="00CD71E1" w:rsidRPr="00B51211">
        <w:t xml:space="preserve">subsidiaries shall comply with the Policy. </w:t>
      </w:r>
    </w:p>
    <w:p w:rsidR="00350715" w:rsidRPr="006C65F7" w:rsidRDefault="00350715" w:rsidP="003148F3">
      <w:pPr>
        <w:pStyle w:val="Default"/>
        <w:rPr>
          <w:b/>
          <w:sz w:val="26"/>
          <w:szCs w:val="26"/>
        </w:rPr>
      </w:pPr>
    </w:p>
    <w:p w:rsidR="003148F3" w:rsidRPr="00B51211" w:rsidRDefault="003148F3" w:rsidP="00B51211">
      <w:pPr>
        <w:pStyle w:val="Default"/>
        <w:jc w:val="center"/>
        <w:rPr>
          <w:b/>
          <w:sz w:val="28"/>
          <w:szCs w:val="28"/>
        </w:rPr>
      </w:pPr>
      <w:proofErr w:type="gramStart"/>
      <w:r w:rsidRPr="00B51211">
        <w:rPr>
          <w:b/>
          <w:sz w:val="28"/>
          <w:szCs w:val="28"/>
        </w:rPr>
        <w:t>Chapter II.</w:t>
      </w:r>
      <w:proofErr w:type="gramEnd"/>
      <w:r w:rsidRPr="00B51211">
        <w:rPr>
          <w:b/>
          <w:sz w:val="28"/>
          <w:szCs w:val="28"/>
        </w:rPr>
        <w:t xml:space="preserve"> Tax Governance Principles</w:t>
      </w:r>
    </w:p>
    <w:p w:rsidR="003148F3" w:rsidRPr="006C65F7" w:rsidRDefault="003148F3" w:rsidP="00CD71E1">
      <w:pPr>
        <w:pStyle w:val="Default"/>
        <w:rPr>
          <w:sz w:val="26"/>
          <w:szCs w:val="26"/>
        </w:rPr>
      </w:pPr>
    </w:p>
    <w:p w:rsidR="00CD71E1" w:rsidRPr="00350715" w:rsidRDefault="00B51211" w:rsidP="00B51211">
      <w:pPr>
        <w:pStyle w:val="Default"/>
        <w:ind w:left="1064" w:hanging="1064"/>
      </w:pPr>
      <w:r>
        <w:t>Article 3.</w:t>
      </w:r>
      <w:r w:rsidR="00CD71E1" w:rsidRPr="00350715">
        <w:t xml:space="preserve">The </w:t>
      </w:r>
      <w:r w:rsidRPr="00350715">
        <w:t>Bank</w:t>
      </w:r>
      <w:r w:rsidR="00CD71E1" w:rsidRPr="00350715">
        <w:t xml:space="preserve">’s tax governance is based on the principles of good faith and integrity and </w:t>
      </w:r>
      <w:r w:rsidR="00B50656">
        <w:rPr>
          <w:rFonts w:hint="eastAsia"/>
        </w:rPr>
        <w:t xml:space="preserve">the policy </w:t>
      </w:r>
      <w:r w:rsidR="00CD71E1" w:rsidRPr="00350715">
        <w:t xml:space="preserve">is as follows: </w:t>
      </w:r>
    </w:p>
    <w:p w:rsidR="003148F3" w:rsidRPr="00350715" w:rsidRDefault="003148F3" w:rsidP="00CD71E1">
      <w:pPr>
        <w:pStyle w:val="Default"/>
      </w:pPr>
    </w:p>
    <w:p w:rsidR="00F92738" w:rsidRPr="00B51211" w:rsidRDefault="00F92738" w:rsidP="00B51211">
      <w:pPr>
        <w:autoSpaceDE w:val="0"/>
        <w:autoSpaceDN w:val="0"/>
        <w:adjustRightInd w:val="0"/>
        <w:ind w:left="1442" w:hanging="308"/>
        <w:rPr>
          <w:rFonts w:ascii="Times New Roman" w:hAnsi="Times New Roman" w:cs="Times New Roman"/>
          <w:kern w:val="0"/>
          <w:szCs w:val="24"/>
        </w:rPr>
      </w:pPr>
      <w:r w:rsidRPr="00350715">
        <w:rPr>
          <w:rFonts w:ascii="Times New Roman" w:hAnsi="Times New Roman" w:cs="Times New Roman"/>
          <w:szCs w:val="24"/>
        </w:rPr>
        <w:t xml:space="preserve">1. </w:t>
      </w:r>
      <w:r w:rsidR="00B51211" w:rsidRPr="00350715">
        <w:rPr>
          <w:rFonts w:ascii="Times New Roman" w:hAnsi="Times New Roman" w:cs="Times New Roman"/>
          <w:szCs w:val="24"/>
        </w:rPr>
        <w:t xml:space="preserve">The </w:t>
      </w:r>
      <w:r w:rsidR="00B51211" w:rsidRPr="00350715">
        <w:rPr>
          <w:rFonts w:ascii="Times New Roman" w:hAnsi="Times New Roman" w:cs="Times New Roman"/>
        </w:rPr>
        <w:t>Bank</w:t>
      </w:r>
      <w:r w:rsidRPr="00350715">
        <w:rPr>
          <w:rFonts w:ascii="Times New Roman" w:hAnsi="Times New Roman" w:cs="Times New Roman"/>
          <w:szCs w:val="24"/>
        </w:rPr>
        <w:t xml:space="preserve"> shall </w:t>
      </w:r>
      <w:r w:rsidRPr="00350715">
        <w:rPr>
          <w:rFonts w:ascii="Times New Roman" w:hAnsi="Times New Roman" w:cs="Times New Roman"/>
          <w:kern w:val="0"/>
          <w:szCs w:val="24"/>
        </w:rPr>
        <w:t>comply with the local tax laws and spirit</w:t>
      </w:r>
      <w:r w:rsidRPr="00350715">
        <w:rPr>
          <w:rFonts w:ascii="Times New Roman" w:hAnsi="Times New Roman" w:cs="Times New Roman"/>
          <w:szCs w:val="24"/>
        </w:rPr>
        <w:t xml:space="preserve">, </w:t>
      </w:r>
      <w:r w:rsidR="00B50656">
        <w:rPr>
          <w:rFonts w:ascii="Times New Roman" w:hAnsi="Times New Roman" w:cs="Times New Roman" w:hint="eastAsia"/>
          <w:szCs w:val="24"/>
        </w:rPr>
        <w:t xml:space="preserve">and </w:t>
      </w:r>
      <w:r w:rsidRPr="00350715">
        <w:rPr>
          <w:rFonts w:ascii="Times New Roman" w:hAnsi="Times New Roman" w:cs="Times New Roman"/>
          <w:szCs w:val="24"/>
        </w:rPr>
        <w:t>correctly calcula</w:t>
      </w:r>
      <w:r w:rsidRPr="00350715">
        <w:rPr>
          <w:rFonts w:ascii="Times New Roman" w:hAnsi="Times New Roman" w:cs="Times New Roman"/>
          <w:kern w:val="0"/>
          <w:szCs w:val="24"/>
        </w:rPr>
        <w:t xml:space="preserve">te </w:t>
      </w:r>
      <w:r w:rsidR="004306AB" w:rsidRPr="00350715">
        <w:rPr>
          <w:rFonts w:ascii="Times New Roman" w:hAnsi="Times New Roman" w:cs="Times New Roman"/>
          <w:kern w:val="0"/>
          <w:szCs w:val="24"/>
        </w:rPr>
        <w:t>tax charges</w:t>
      </w:r>
      <w:r w:rsidRPr="00350715">
        <w:rPr>
          <w:rFonts w:ascii="Times New Roman" w:hAnsi="Times New Roman" w:cs="Times New Roman"/>
          <w:kern w:val="0"/>
          <w:szCs w:val="24"/>
        </w:rPr>
        <w:t xml:space="preserve"> and </w:t>
      </w:r>
      <w:r w:rsidR="004306AB" w:rsidRPr="00350715">
        <w:rPr>
          <w:rFonts w:ascii="Times New Roman" w:hAnsi="Times New Roman" w:cs="Times New Roman"/>
          <w:szCs w:val="24"/>
        </w:rPr>
        <w:t>file tax returns within the</w:t>
      </w:r>
      <w:r w:rsidRPr="00350715">
        <w:rPr>
          <w:rFonts w:ascii="Times New Roman" w:hAnsi="Times New Roman" w:cs="Times New Roman"/>
          <w:kern w:val="0"/>
          <w:szCs w:val="24"/>
        </w:rPr>
        <w:t xml:space="preserve"> statutory deadlines. </w:t>
      </w:r>
      <w:r w:rsidR="004306AB" w:rsidRPr="00350715">
        <w:rPr>
          <w:rFonts w:ascii="Times New Roman" w:hAnsi="Times New Roman" w:cs="Times New Roman"/>
          <w:kern w:val="0"/>
          <w:szCs w:val="24"/>
        </w:rPr>
        <w:t>Meet the</w:t>
      </w:r>
      <w:r w:rsidRPr="00350715">
        <w:rPr>
          <w:rFonts w:ascii="Times New Roman" w:hAnsi="Times New Roman" w:cs="Times New Roman"/>
          <w:kern w:val="0"/>
          <w:szCs w:val="24"/>
        </w:rPr>
        <w:t xml:space="preserve"> international tax regulations and implement</w:t>
      </w:r>
      <w:r w:rsidRPr="00B51211">
        <w:rPr>
          <w:rFonts w:ascii="Times New Roman" w:hAnsi="Times New Roman" w:cs="Times New Roman"/>
          <w:kern w:val="0"/>
          <w:szCs w:val="24"/>
        </w:rPr>
        <w:t xml:space="preserve"> the </w:t>
      </w:r>
      <w:r w:rsidR="00AA2595">
        <w:rPr>
          <w:rFonts w:ascii="Times New Roman" w:hAnsi="Times New Roman" w:cs="Times New Roman" w:hint="eastAsia"/>
          <w:kern w:val="0"/>
          <w:szCs w:val="24"/>
        </w:rPr>
        <w:t>transfer pricing rules.</w:t>
      </w:r>
    </w:p>
    <w:p w:rsidR="0034148C" w:rsidRPr="00B51211" w:rsidRDefault="0034148C" w:rsidP="00B51211">
      <w:pPr>
        <w:autoSpaceDE w:val="0"/>
        <w:autoSpaceDN w:val="0"/>
        <w:adjustRightInd w:val="0"/>
        <w:ind w:left="1134"/>
        <w:rPr>
          <w:rFonts w:ascii="Times New Roman" w:hAnsi="Times New Roman" w:cs="Times New Roman"/>
          <w:kern w:val="0"/>
          <w:szCs w:val="24"/>
        </w:rPr>
      </w:pPr>
    </w:p>
    <w:p w:rsidR="0034148C" w:rsidRPr="00B51211" w:rsidRDefault="00CD71E1" w:rsidP="00B51211">
      <w:pPr>
        <w:pStyle w:val="Default"/>
        <w:ind w:left="1442" w:hanging="308"/>
      </w:pPr>
      <w:r w:rsidRPr="00B51211">
        <w:t>2.</w:t>
      </w:r>
      <w:r w:rsidR="007A5918" w:rsidRPr="00B51211">
        <w:t xml:space="preserve"> </w:t>
      </w:r>
      <w:r w:rsidR="00B51211" w:rsidRPr="00B51211">
        <w:t xml:space="preserve">The </w:t>
      </w:r>
      <w:r w:rsidR="00B51211">
        <w:rPr>
          <w:rFonts w:hint="eastAsia"/>
        </w:rPr>
        <w:t>Bank</w:t>
      </w:r>
      <w:r w:rsidR="0034148C" w:rsidRPr="00B51211">
        <w:t xml:space="preserve"> shall plan tax decisions that are optimal for the overall tax burden of the Bank in compliance with regulations, carefully assess strategies in response </w:t>
      </w:r>
      <w:r w:rsidR="007A5918" w:rsidRPr="00B51211">
        <w:t xml:space="preserve">to the </w:t>
      </w:r>
      <w:r w:rsidR="00B50656" w:rsidRPr="00B51211">
        <w:t xml:space="preserve">tax risks </w:t>
      </w:r>
      <w:r w:rsidR="00B50656">
        <w:rPr>
          <w:rFonts w:hint="eastAsia"/>
        </w:rPr>
        <w:t xml:space="preserve">and </w:t>
      </w:r>
      <w:r w:rsidR="0034148C" w:rsidRPr="00B51211">
        <w:t>changes in international tax regulations.</w:t>
      </w:r>
    </w:p>
    <w:p w:rsidR="0034148C" w:rsidRPr="00B51211" w:rsidRDefault="0034148C" w:rsidP="00B51211">
      <w:pPr>
        <w:pStyle w:val="Default"/>
        <w:ind w:left="1134"/>
      </w:pPr>
    </w:p>
    <w:p w:rsidR="007A5918" w:rsidRPr="0089064A" w:rsidRDefault="00CD71E1" w:rsidP="00B51211">
      <w:pPr>
        <w:pStyle w:val="Default"/>
        <w:ind w:left="1428" w:hanging="294"/>
      </w:pPr>
      <w:r w:rsidRPr="00B51211">
        <w:t>3.</w:t>
      </w:r>
      <w:r w:rsidR="007A5918" w:rsidRPr="00B51211">
        <w:t xml:space="preserve"> Related party transactions need to comply with the reasonable business purpose, and the transaction pricing should reflect economic substance. The transaction</w:t>
      </w:r>
      <w:r w:rsidR="00B50656">
        <w:rPr>
          <w:rFonts w:hint="eastAsia"/>
        </w:rPr>
        <w:t>s</w:t>
      </w:r>
      <w:r w:rsidR="007A5918" w:rsidRPr="00B51211">
        <w:t xml:space="preserve"> should not be </w:t>
      </w:r>
      <w:proofErr w:type="gramStart"/>
      <w:r w:rsidR="007A5918" w:rsidRPr="00B51211">
        <w:t>undert</w:t>
      </w:r>
      <w:r w:rsidR="00B50656">
        <w:rPr>
          <w:rFonts w:hint="eastAsia"/>
        </w:rPr>
        <w:t>ook</w:t>
      </w:r>
      <w:proofErr w:type="gramEnd"/>
      <w:r w:rsidR="007A5918" w:rsidRPr="00B51211">
        <w:t xml:space="preserve"> </w:t>
      </w:r>
      <w:r w:rsidR="00F215DB">
        <w:rPr>
          <w:rFonts w:hint="eastAsia"/>
        </w:rPr>
        <w:t>in low tax jurisdic</w:t>
      </w:r>
      <w:r w:rsidR="00F215DB" w:rsidRPr="0089064A">
        <w:rPr>
          <w:rFonts w:hint="eastAsia"/>
        </w:rPr>
        <w:t>tion</w:t>
      </w:r>
      <w:r w:rsidR="007A5918" w:rsidRPr="0089064A">
        <w:t xml:space="preserve"> or</w:t>
      </w:r>
      <w:r w:rsidR="00F215DB" w:rsidRPr="0089064A">
        <w:rPr>
          <w:rFonts w:hint="eastAsia"/>
        </w:rPr>
        <w:t xml:space="preserve"> so-called</w:t>
      </w:r>
      <w:r w:rsidR="007A5918" w:rsidRPr="0089064A">
        <w:t xml:space="preserve"> tax havens.</w:t>
      </w:r>
    </w:p>
    <w:p w:rsidR="00F07F2A" w:rsidRPr="0089064A" w:rsidRDefault="00F07F2A" w:rsidP="00B51211">
      <w:pPr>
        <w:pStyle w:val="Default"/>
        <w:ind w:left="1134"/>
      </w:pPr>
    </w:p>
    <w:p w:rsidR="00A062FB" w:rsidRDefault="00CD71E1" w:rsidP="00B51211">
      <w:pPr>
        <w:pStyle w:val="Default"/>
        <w:ind w:left="1414" w:hanging="280"/>
        <w:rPr>
          <w:rFonts w:hint="eastAsia"/>
        </w:rPr>
      </w:pPr>
      <w:r w:rsidRPr="0089064A">
        <w:t xml:space="preserve">4. </w:t>
      </w:r>
      <w:r w:rsidR="00B51211" w:rsidRPr="0089064A">
        <w:t xml:space="preserve">The </w:t>
      </w:r>
      <w:r w:rsidR="00B51211" w:rsidRPr="0089064A">
        <w:rPr>
          <w:rFonts w:hint="eastAsia"/>
        </w:rPr>
        <w:t>Bank</w:t>
      </w:r>
      <w:r w:rsidR="001E763B" w:rsidRPr="0089064A">
        <w:t xml:space="preserve">'s transparency tax information </w:t>
      </w:r>
      <w:r w:rsidR="0089064A">
        <w:rPr>
          <w:rFonts w:hint="eastAsia"/>
        </w:rPr>
        <w:t xml:space="preserve">shall </w:t>
      </w:r>
      <w:r w:rsidR="001E763B" w:rsidRPr="0089064A">
        <w:t>compl</w:t>
      </w:r>
      <w:r w:rsidR="0089064A">
        <w:rPr>
          <w:rFonts w:hint="eastAsia"/>
        </w:rPr>
        <w:t>y</w:t>
      </w:r>
      <w:r w:rsidR="001E763B" w:rsidRPr="0089064A">
        <w:t xml:space="preserve"> with the Internati</w:t>
      </w:r>
      <w:r w:rsidR="001E763B" w:rsidRPr="00B51211">
        <w:t xml:space="preserve">onal Financial Reporting Standards and </w:t>
      </w:r>
      <w:r w:rsidR="00A062FB" w:rsidRPr="00B51211">
        <w:t xml:space="preserve">annual report disclosure requirements. </w:t>
      </w:r>
      <w:r w:rsidR="00350715" w:rsidRPr="00B51211">
        <w:t xml:space="preserve">The </w:t>
      </w:r>
      <w:r w:rsidR="00350715">
        <w:rPr>
          <w:rFonts w:hint="eastAsia"/>
        </w:rPr>
        <w:t>Bank</w:t>
      </w:r>
      <w:r w:rsidR="00A062FB" w:rsidRPr="00B51211">
        <w:t xml:space="preserve"> </w:t>
      </w:r>
      <w:r w:rsidR="007B5ACB">
        <w:rPr>
          <w:rFonts w:hint="eastAsia"/>
        </w:rPr>
        <w:t xml:space="preserve">shall </w:t>
      </w:r>
      <w:r w:rsidR="00A062FB" w:rsidRPr="00B51211">
        <w:t xml:space="preserve">consult with external professional institutions in a timely manner to </w:t>
      </w:r>
      <w:r w:rsidR="0089064A">
        <w:rPr>
          <w:rFonts w:hint="eastAsia"/>
        </w:rPr>
        <w:t xml:space="preserve">prevent any tax </w:t>
      </w:r>
      <w:r w:rsidR="0089064A">
        <w:lastRenderedPageBreak/>
        <w:t>avoidance</w:t>
      </w:r>
      <w:r w:rsidR="00A062FB" w:rsidRPr="00B51211">
        <w:t>.</w:t>
      </w:r>
    </w:p>
    <w:p w:rsidR="0089064A" w:rsidRPr="00B51211" w:rsidRDefault="0089064A" w:rsidP="00B51211">
      <w:pPr>
        <w:pStyle w:val="Default"/>
        <w:ind w:left="1414" w:hanging="280"/>
      </w:pPr>
    </w:p>
    <w:p w:rsidR="00F07F2A" w:rsidRPr="00B51211" w:rsidRDefault="00A45674" w:rsidP="00B51211">
      <w:pPr>
        <w:pStyle w:val="Default"/>
        <w:ind w:left="1414" w:hanging="280"/>
      </w:pPr>
      <w:r w:rsidRPr="00B51211">
        <w:t xml:space="preserve">5. </w:t>
      </w:r>
      <w:r w:rsidR="00B51211" w:rsidRPr="00B51211">
        <w:t xml:space="preserve">The </w:t>
      </w:r>
      <w:r w:rsidR="00B51211">
        <w:rPr>
          <w:rFonts w:hint="eastAsia"/>
        </w:rPr>
        <w:t>Bank</w:t>
      </w:r>
      <w:r w:rsidRPr="00B51211">
        <w:t xml:space="preserve"> shall foster </w:t>
      </w:r>
      <w:r w:rsidR="00DD09F7" w:rsidRPr="00B51211">
        <w:t>mutual trust</w:t>
      </w:r>
      <w:r w:rsidRPr="00B51211">
        <w:t xml:space="preserve"> and honest </w:t>
      </w:r>
      <w:r w:rsidR="00DD09F7" w:rsidRPr="00B51211">
        <w:t xml:space="preserve">communication </w:t>
      </w:r>
      <w:r w:rsidRPr="00B51211">
        <w:t>relati</w:t>
      </w:r>
      <w:r w:rsidR="00DD09F7" w:rsidRPr="00B51211">
        <w:t xml:space="preserve">onship with the tax authorities. </w:t>
      </w:r>
      <w:r w:rsidR="007B5ACB" w:rsidRPr="00B51211">
        <w:t xml:space="preserve">The </w:t>
      </w:r>
      <w:r w:rsidR="007B5ACB">
        <w:rPr>
          <w:rFonts w:hint="eastAsia"/>
        </w:rPr>
        <w:t>Bank</w:t>
      </w:r>
      <w:r w:rsidR="007B5ACB" w:rsidRPr="00B51211">
        <w:t xml:space="preserve"> </w:t>
      </w:r>
      <w:proofErr w:type="gramStart"/>
      <w:r w:rsidR="007B5ACB">
        <w:rPr>
          <w:rFonts w:hint="eastAsia"/>
        </w:rPr>
        <w:t>p</w:t>
      </w:r>
      <w:r w:rsidR="00DD09F7" w:rsidRPr="00B51211">
        <w:t>articipate</w:t>
      </w:r>
      <w:proofErr w:type="gramEnd"/>
      <w:r w:rsidR="00DD09F7" w:rsidRPr="00B51211">
        <w:t xml:space="preserve"> in tax </w:t>
      </w:r>
      <w:r w:rsidR="00B51211" w:rsidRPr="00B51211">
        <w:rPr>
          <w:rFonts w:hint="eastAsia"/>
        </w:rPr>
        <w:t>s</w:t>
      </w:r>
      <w:r w:rsidR="00DD09F7" w:rsidRPr="00B51211">
        <w:t>ymposiums</w:t>
      </w:r>
      <w:r w:rsidR="00726D70" w:rsidRPr="00B51211">
        <w:t xml:space="preserve"> to share</w:t>
      </w:r>
      <w:r w:rsidRPr="00B51211">
        <w:t xml:space="preserve"> practical industry </w:t>
      </w:r>
      <w:r w:rsidR="00DD09F7" w:rsidRPr="00B51211">
        <w:t>perspectives</w:t>
      </w:r>
      <w:r w:rsidRPr="00B51211">
        <w:t xml:space="preserve"> and </w:t>
      </w:r>
      <w:r w:rsidR="00726D70" w:rsidRPr="00B51211">
        <w:t xml:space="preserve">insights, and </w:t>
      </w:r>
      <w:r w:rsidR="007B5ACB">
        <w:rPr>
          <w:rFonts w:hint="eastAsia"/>
        </w:rPr>
        <w:t xml:space="preserve">assist in </w:t>
      </w:r>
      <w:r w:rsidR="007B5ACB">
        <w:t>improv</w:t>
      </w:r>
      <w:r w:rsidR="007B5ACB">
        <w:rPr>
          <w:rFonts w:hint="eastAsia"/>
        </w:rPr>
        <w:t>ing</w:t>
      </w:r>
      <w:r w:rsidRPr="00B51211">
        <w:t xml:space="preserve"> the tax environment and tax system.</w:t>
      </w:r>
    </w:p>
    <w:p w:rsidR="00A45674" w:rsidRPr="00B51211" w:rsidRDefault="00A45674" w:rsidP="00B51211">
      <w:pPr>
        <w:pStyle w:val="Default"/>
        <w:ind w:left="1134"/>
      </w:pPr>
    </w:p>
    <w:p w:rsidR="00726D70" w:rsidRPr="00B51211" w:rsidRDefault="004A65D2" w:rsidP="00B51211">
      <w:pPr>
        <w:pStyle w:val="Default"/>
        <w:ind w:left="1428" w:hanging="294"/>
      </w:pPr>
      <w:r w:rsidRPr="00B51211">
        <w:t>6</w:t>
      </w:r>
      <w:r w:rsidR="00CD71E1" w:rsidRPr="00B51211">
        <w:t xml:space="preserve">. </w:t>
      </w:r>
      <w:r w:rsidR="00B51211" w:rsidRPr="00B51211">
        <w:t xml:space="preserve">The </w:t>
      </w:r>
      <w:r w:rsidR="00B51211">
        <w:rPr>
          <w:rFonts w:hint="eastAsia"/>
        </w:rPr>
        <w:t>Bank</w:t>
      </w:r>
      <w:r w:rsidR="007B5ACB">
        <w:t xml:space="preserve"> shall </w:t>
      </w:r>
      <w:r w:rsidR="007B5ACB">
        <w:rPr>
          <w:rFonts w:hint="eastAsia"/>
        </w:rPr>
        <w:t>train</w:t>
      </w:r>
      <w:r w:rsidR="00CD71E1" w:rsidRPr="00B51211">
        <w:t xml:space="preserve"> that employees</w:t>
      </w:r>
      <w:r w:rsidRPr="00B51211">
        <w:t xml:space="preserve"> </w:t>
      </w:r>
      <w:r w:rsidR="00726D70" w:rsidRPr="00B51211">
        <w:t>through domestic and foreign</w:t>
      </w:r>
      <w:r w:rsidR="007B5ACB">
        <w:rPr>
          <w:rFonts w:hint="eastAsia"/>
        </w:rPr>
        <w:t xml:space="preserve"> education</w:t>
      </w:r>
      <w:r w:rsidR="00CD71E1" w:rsidRPr="00B51211">
        <w:t xml:space="preserve">, </w:t>
      </w:r>
      <w:r w:rsidR="00726D70" w:rsidRPr="00B51211">
        <w:t>and enhance the professional competencies of taxation.</w:t>
      </w:r>
    </w:p>
    <w:p w:rsidR="004A65D2" w:rsidRPr="006C65F7" w:rsidRDefault="004A65D2" w:rsidP="00726D70">
      <w:pPr>
        <w:pStyle w:val="Default"/>
        <w:rPr>
          <w:sz w:val="26"/>
          <w:szCs w:val="26"/>
        </w:rPr>
      </w:pPr>
    </w:p>
    <w:p w:rsidR="00030EA8" w:rsidRPr="00B51211" w:rsidRDefault="00030EA8" w:rsidP="00B51211">
      <w:pPr>
        <w:pStyle w:val="Default"/>
        <w:jc w:val="center"/>
        <w:rPr>
          <w:b/>
          <w:sz w:val="28"/>
          <w:szCs w:val="28"/>
        </w:rPr>
      </w:pPr>
      <w:proofErr w:type="gramStart"/>
      <w:r w:rsidRPr="00B51211">
        <w:rPr>
          <w:b/>
          <w:sz w:val="28"/>
          <w:szCs w:val="28"/>
        </w:rPr>
        <w:t>Chapter III.</w:t>
      </w:r>
      <w:proofErr w:type="gramEnd"/>
      <w:r w:rsidRPr="00B51211">
        <w:rPr>
          <w:b/>
          <w:sz w:val="28"/>
          <w:szCs w:val="28"/>
        </w:rPr>
        <w:t xml:space="preserve"> Tax Organization and Responsibility</w:t>
      </w:r>
    </w:p>
    <w:p w:rsidR="00030EA8" w:rsidRPr="006C65F7" w:rsidRDefault="00030EA8" w:rsidP="00726D70">
      <w:pPr>
        <w:pStyle w:val="Default"/>
        <w:rPr>
          <w:sz w:val="26"/>
          <w:szCs w:val="26"/>
        </w:rPr>
      </w:pPr>
    </w:p>
    <w:p w:rsidR="00CD71E1" w:rsidRPr="00350715" w:rsidRDefault="00B51211" w:rsidP="00350715">
      <w:pPr>
        <w:pStyle w:val="Default"/>
        <w:ind w:left="938" w:hanging="938"/>
      </w:pPr>
      <w:r w:rsidRPr="00350715">
        <w:t>Article 4.</w:t>
      </w:r>
      <w:r w:rsidR="00CD71E1" w:rsidRPr="00350715">
        <w:t xml:space="preserve">The relevant organizational structures and responsibilities of tax administration are as follows: </w:t>
      </w:r>
    </w:p>
    <w:p w:rsidR="00030EA8" w:rsidRPr="00350715" w:rsidRDefault="00030EA8" w:rsidP="00CD71E1">
      <w:pPr>
        <w:pStyle w:val="Default"/>
      </w:pPr>
    </w:p>
    <w:p w:rsidR="00CD71E1" w:rsidRPr="00350715" w:rsidRDefault="00350715" w:rsidP="00350715">
      <w:pPr>
        <w:pStyle w:val="Default"/>
        <w:tabs>
          <w:tab w:val="left" w:pos="882"/>
        </w:tabs>
        <w:ind w:firstLine="882"/>
      </w:pPr>
      <w:r w:rsidRPr="00350715">
        <w:rPr>
          <w:rFonts w:hint="eastAsia"/>
        </w:rPr>
        <w:t>1</w:t>
      </w:r>
      <w:r w:rsidR="00CD71E1" w:rsidRPr="00350715">
        <w:t xml:space="preserve">. Board of Directors </w:t>
      </w:r>
    </w:p>
    <w:p w:rsidR="009E272B" w:rsidRPr="00350715" w:rsidRDefault="009E272B" w:rsidP="009E272B">
      <w:pPr>
        <w:autoSpaceDE w:val="0"/>
        <w:autoSpaceDN w:val="0"/>
        <w:adjustRightInd w:val="0"/>
        <w:rPr>
          <w:rFonts w:ascii="Times New Roman" w:hAnsi="Times New Roman" w:cs="Times New Roman"/>
          <w:kern w:val="0"/>
          <w:szCs w:val="24"/>
        </w:rPr>
      </w:pPr>
    </w:p>
    <w:p w:rsidR="009E272B" w:rsidRPr="00350715" w:rsidRDefault="009E272B" w:rsidP="00350715">
      <w:pPr>
        <w:pStyle w:val="Default"/>
        <w:ind w:left="1148" w:hanging="14"/>
      </w:pPr>
      <w:r w:rsidRPr="00350715">
        <w:t>The Board of Directors approves the overall tax governance policies based on the overall operating strategy and operating environment, supervises the implementation of the tax risk management mechanism of the bank, and ensures the effective operation of the tax governance.</w:t>
      </w:r>
    </w:p>
    <w:p w:rsidR="009E272B" w:rsidRPr="00350715" w:rsidRDefault="009E272B" w:rsidP="00CD71E1">
      <w:pPr>
        <w:pStyle w:val="Default"/>
      </w:pPr>
    </w:p>
    <w:p w:rsidR="009E272B" w:rsidRPr="00350715" w:rsidRDefault="00350715" w:rsidP="00350715">
      <w:pPr>
        <w:pStyle w:val="Default"/>
        <w:tabs>
          <w:tab w:val="left" w:pos="952"/>
        </w:tabs>
        <w:ind w:firstLine="952"/>
      </w:pPr>
      <w:r w:rsidRPr="00350715">
        <w:rPr>
          <w:rFonts w:hint="eastAsia"/>
        </w:rPr>
        <w:t>2</w:t>
      </w:r>
      <w:r w:rsidR="009E272B" w:rsidRPr="00350715">
        <w:t xml:space="preserve">. Tax Management Unit </w:t>
      </w:r>
    </w:p>
    <w:p w:rsidR="009E272B" w:rsidRPr="00350715" w:rsidRDefault="009E272B" w:rsidP="009E272B">
      <w:pPr>
        <w:pStyle w:val="Default"/>
      </w:pPr>
    </w:p>
    <w:p w:rsidR="00CD71E1" w:rsidRPr="00350715" w:rsidRDefault="009E272B" w:rsidP="00350715">
      <w:pPr>
        <w:pStyle w:val="Default"/>
        <w:ind w:left="1120"/>
      </w:pPr>
      <w:r w:rsidRPr="00350715">
        <w:t xml:space="preserve">The Accounting department is the tax management unit that formulates tax governance policies, establishes a tax management structure, and controls the Bank's various operational activities </w:t>
      </w:r>
      <w:r w:rsidR="006B7E9A">
        <w:rPr>
          <w:rFonts w:hint="eastAsia"/>
        </w:rPr>
        <w:t xml:space="preserve">to prevent the Bank from </w:t>
      </w:r>
      <w:r w:rsidRPr="00350715">
        <w:t>violating the above principles.</w:t>
      </w:r>
      <w:r w:rsidR="00350715" w:rsidRPr="00350715">
        <w:rPr>
          <w:rFonts w:hint="eastAsia"/>
        </w:rPr>
        <w:t xml:space="preserve"> </w:t>
      </w:r>
      <w:r w:rsidR="006C65F7" w:rsidRPr="00350715">
        <w:t>Administrative relief cases involving tax shall be reported in accordance with the standard of division of responsibilities. Other tax related matters shall be reported to the Board of Directors depending on the significance of the issue.</w:t>
      </w:r>
    </w:p>
    <w:p w:rsidR="009E272B" w:rsidRPr="00350715" w:rsidRDefault="009E272B" w:rsidP="00CD71E1">
      <w:pPr>
        <w:pStyle w:val="Default"/>
      </w:pPr>
    </w:p>
    <w:p w:rsidR="006C65F7" w:rsidRPr="00B51211" w:rsidRDefault="006C65F7" w:rsidP="00B51211">
      <w:pPr>
        <w:pStyle w:val="Default"/>
        <w:jc w:val="center"/>
        <w:rPr>
          <w:b/>
          <w:sz w:val="28"/>
          <w:szCs w:val="28"/>
        </w:rPr>
      </w:pPr>
      <w:proofErr w:type="gramStart"/>
      <w:r w:rsidRPr="00B51211">
        <w:rPr>
          <w:b/>
          <w:sz w:val="28"/>
          <w:szCs w:val="28"/>
        </w:rPr>
        <w:t>Chapter IV.</w:t>
      </w:r>
      <w:proofErr w:type="gramEnd"/>
      <w:r w:rsidRPr="00B51211">
        <w:rPr>
          <w:b/>
          <w:sz w:val="28"/>
          <w:szCs w:val="28"/>
        </w:rPr>
        <w:t xml:space="preserve"> Supplementary provisions</w:t>
      </w:r>
    </w:p>
    <w:p w:rsidR="009E272B" w:rsidRPr="00B51211" w:rsidRDefault="009E272B" w:rsidP="00CD71E1">
      <w:pPr>
        <w:pStyle w:val="Default"/>
      </w:pPr>
    </w:p>
    <w:p w:rsidR="006C65F7" w:rsidRPr="00B51211" w:rsidRDefault="00B51211" w:rsidP="00350715">
      <w:pPr>
        <w:pStyle w:val="Default"/>
        <w:ind w:left="952" w:hanging="952"/>
      </w:pPr>
      <w:r>
        <w:t>Article 5.</w:t>
      </w:r>
      <w:r w:rsidR="006C65F7" w:rsidRPr="00B51211">
        <w:t xml:space="preserve">The Policy shall be reviewed and amended accordingly in response to changes in international and domestic laws and regulations. Matters not resolved should be referred to the competent authorities and </w:t>
      </w:r>
      <w:r w:rsidR="00F83AC1">
        <w:rPr>
          <w:rFonts w:hint="eastAsia"/>
        </w:rPr>
        <w:t xml:space="preserve">be </w:t>
      </w:r>
      <w:r w:rsidR="006C65F7" w:rsidRPr="00B51211">
        <w:t>follow</w:t>
      </w:r>
      <w:r w:rsidR="00F83AC1">
        <w:rPr>
          <w:rFonts w:hint="eastAsia"/>
        </w:rPr>
        <w:t>ed by</w:t>
      </w:r>
      <w:r w:rsidR="006C65F7" w:rsidRPr="00B51211">
        <w:t xml:space="preserve"> the relevant provisions of the </w:t>
      </w:r>
      <w:r w:rsidR="00350715">
        <w:rPr>
          <w:rFonts w:hint="eastAsia"/>
        </w:rPr>
        <w:t>Bank</w:t>
      </w:r>
      <w:r w:rsidR="006C65F7" w:rsidRPr="00B51211">
        <w:t xml:space="preserve">. </w:t>
      </w:r>
    </w:p>
    <w:p w:rsidR="006C65F7" w:rsidRPr="00B51211" w:rsidRDefault="006C65F7" w:rsidP="006C65F7">
      <w:pPr>
        <w:autoSpaceDE w:val="0"/>
        <w:autoSpaceDN w:val="0"/>
        <w:adjustRightInd w:val="0"/>
        <w:rPr>
          <w:rFonts w:ascii="Times New Roman" w:hAnsi="Times New Roman" w:cs="Times New Roman"/>
          <w:szCs w:val="24"/>
        </w:rPr>
      </w:pPr>
    </w:p>
    <w:p w:rsidR="00CD3017" w:rsidRPr="00B51211" w:rsidRDefault="00B51211" w:rsidP="00350715">
      <w:pPr>
        <w:pStyle w:val="Default"/>
        <w:ind w:left="952" w:hanging="952"/>
      </w:pPr>
      <w:r>
        <w:t>Article 6.</w:t>
      </w:r>
      <w:r w:rsidR="00CD71E1" w:rsidRPr="00B51211">
        <w:t xml:space="preserve">The Policy </w:t>
      </w:r>
      <w:r w:rsidR="00F83AC1">
        <w:rPr>
          <w:rFonts w:hint="eastAsia"/>
        </w:rPr>
        <w:t>applies</w:t>
      </w:r>
      <w:r w:rsidR="006C65F7" w:rsidRPr="00B51211">
        <w:t xml:space="preserve"> effective</w:t>
      </w:r>
      <w:r w:rsidR="00F83AC1">
        <w:rPr>
          <w:rFonts w:hint="eastAsia"/>
        </w:rPr>
        <w:t>s</w:t>
      </w:r>
      <w:r w:rsidR="006C65F7" w:rsidRPr="00B51211">
        <w:t xml:space="preserve"> upon approval of the Board, and the amendments.</w:t>
      </w:r>
    </w:p>
    <w:sectPr w:rsidR="00CD3017" w:rsidRPr="00B51211" w:rsidSect="00350715">
      <w:pgSz w:w="11906" w:h="16838"/>
      <w:pgMar w:top="1440" w:right="1071" w:bottom="1440"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6055" w:rsidRDefault="00B56055" w:rsidP="006C65F7">
      <w:r>
        <w:separator/>
      </w:r>
    </w:p>
  </w:endnote>
  <w:endnote w:type="continuationSeparator" w:id="0">
    <w:p w:rsidR="00B56055" w:rsidRDefault="00B56055" w:rsidP="006C65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F1">
    <w:altName w:val="細明體"/>
    <w:charset w:val="88"/>
    <w:family w:val="auto"/>
    <w:pitch w:val="default"/>
    <w:sig w:usb0="00000001" w:usb1="080F0000" w:usb2="00000010" w:usb3="00000000" w:csb0="001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6055" w:rsidRDefault="00B56055" w:rsidP="006C65F7">
      <w:r>
        <w:separator/>
      </w:r>
    </w:p>
  </w:footnote>
  <w:footnote w:type="continuationSeparator" w:id="0">
    <w:p w:rsidR="00B56055" w:rsidRDefault="00B56055" w:rsidP="006C65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54D9E"/>
    <w:multiLevelType w:val="hybridMultilevel"/>
    <w:tmpl w:val="BB08CEFE"/>
    <w:lvl w:ilvl="0" w:tplc="F48ADE38">
      <w:start w:val="1"/>
      <w:numFmt w:val="taiwaneseCountingThousand"/>
      <w:lvlText w:val="%1、"/>
      <w:lvlJc w:val="left"/>
      <w:pPr>
        <w:ind w:left="1701" w:hanging="720"/>
      </w:pPr>
      <w:rPr>
        <w:rFonts w:hint="default"/>
      </w:rPr>
    </w:lvl>
    <w:lvl w:ilvl="1" w:tplc="04090019" w:tentative="1">
      <w:start w:val="1"/>
      <w:numFmt w:val="ideographTraditional"/>
      <w:lvlText w:val="%2、"/>
      <w:lvlJc w:val="left"/>
      <w:pPr>
        <w:ind w:left="1941" w:hanging="480"/>
      </w:pPr>
    </w:lvl>
    <w:lvl w:ilvl="2" w:tplc="0409001B" w:tentative="1">
      <w:start w:val="1"/>
      <w:numFmt w:val="lowerRoman"/>
      <w:lvlText w:val="%3."/>
      <w:lvlJc w:val="right"/>
      <w:pPr>
        <w:ind w:left="2421" w:hanging="480"/>
      </w:pPr>
    </w:lvl>
    <w:lvl w:ilvl="3" w:tplc="0409000F" w:tentative="1">
      <w:start w:val="1"/>
      <w:numFmt w:val="decimal"/>
      <w:lvlText w:val="%4."/>
      <w:lvlJc w:val="left"/>
      <w:pPr>
        <w:ind w:left="2901" w:hanging="480"/>
      </w:pPr>
    </w:lvl>
    <w:lvl w:ilvl="4" w:tplc="04090019" w:tentative="1">
      <w:start w:val="1"/>
      <w:numFmt w:val="ideographTraditional"/>
      <w:lvlText w:val="%5、"/>
      <w:lvlJc w:val="left"/>
      <w:pPr>
        <w:ind w:left="3381" w:hanging="480"/>
      </w:pPr>
    </w:lvl>
    <w:lvl w:ilvl="5" w:tplc="0409001B" w:tentative="1">
      <w:start w:val="1"/>
      <w:numFmt w:val="lowerRoman"/>
      <w:lvlText w:val="%6."/>
      <w:lvlJc w:val="right"/>
      <w:pPr>
        <w:ind w:left="3861" w:hanging="480"/>
      </w:pPr>
    </w:lvl>
    <w:lvl w:ilvl="6" w:tplc="0409000F" w:tentative="1">
      <w:start w:val="1"/>
      <w:numFmt w:val="decimal"/>
      <w:lvlText w:val="%7."/>
      <w:lvlJc w:val="left"/>
      <w:pPr>
        <w:ind w:left="4341" w:hanging="480"/>
      </w:pPr>
    </w:lvl>
    <w:lvl w:ilvl="7" w:tplc="04090019" w:tentative="1">
      <w:start w:val="1"/>
      <w:numFmt w:val="ideographTraditional"/>
      <w:lvlText w:val="%8、"/>
      <w:lvlJc w:val="left"/>
      <w:pPr>
        <w:ind w:left="4821" w:hanging="480"/>
      </w:pPr>
    </w:lvl>
    <w:lvl w:ilvl="8" w:tplc="0409001B" w:tentative="1">
      <w:start w:val="1"/>
      <w:numFmt w:val="lowerRoman"/>
      <w:lvlText w:val="%9."/>
      <w:lvlJc w:val="right"/>
      <w:pPr>
        <w:ind w:left="5301"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F710F"/>
    <w:rsid w:val="00030EA8"/>
    <w:rsid w:val="0014087C"/>
    <w:rsid w:val="001A72BB"/>
    <w:rsid w:val="001E763B"/>
    <w:rsid w:val="00227EA4"/>
    <w:rsid w:val="002402A0"/>
    <w:rsid w:val="003148F3"/>
    <w:rsid w:val="0034148C"/>
    <w:rsid w:val="00350715"/>
    <w:rsid w:val="004306AB"/>
    <w:rsid w:val="00467D58"/>
    <w:rsid w:val="004A65D2"/>
    <w:rsid w:val="00502824"/>
    <w:rsid w:val="00557AD0"/>
    <w:rsid w:val="005F3C81"/>
    <w:rsid w:val="0063310E"/>
    <w:rsid w:val="00692073"/>
    <w:rsid w:val="006B7E9A"/>
    <w:rsid w:val="006C65F7"/>
    <w:rsid w:val="0070429B"/>
    <w:rsid w:val="00711526"/>
    <w:rsid w:val="00726D70"/>
    <w:rsid w:val="007655BF"/>
    <w:rsid w:val="007947CC"/>
    <w:rsid w:val="007A5918"/>
    <w:rsid w:val="007B5ACB"/>
    <w:rsid w:val="00843B29"/>
    <w:rsid w:val="0089064A"/>
    <w:rsid w:val="009E029E"/>
    <w:rsid w:val="009E272B"/>
    <w:rsid w:val="00A062FB"/>
    <w:rsid w:val="00A45674"/>
    <w:rsid w:val="00AA2595"/>
    <w:rsid w:val="00AF710F"/>
    <w:rsid w:val="00B50656"/>
    <w:rsid w:val="00B51211"/>
    <w:rsid w:val="00B56055"/>
    <w:rsid w:val="00CD3017"/>
    <w:rsid w:val="00CD71E1"/>
    <w:rsid w:val="00DD09F7"/>
    <w:rsid w:val="00F07F2A"/>
    <w:rsid w:val="00F215DB"/>
    <w:rsid w:val="00F83AC1"/>
    <w:rsid w:val="00F9273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01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D71E1"/>
    <w:pPr>
      <w:widowControl w:val="0"/>
      <w:autoSpaceDE w:val="0"/>
      <w:autoSpaceDN w:val="0"/>
      <w:adjustRightInd w:val="0"/>
    </w:pPr>
    <w:rPr>
      <w:rFonts w:ascii="Times New Roman" w:hAnsi="Times New Roman" w:cs="Times New Roman"/>
      <w:color w:val="000000"/>
      <w:kern w:val="0"/>
      <w:szCs w:val="24"/>
    </w:rPr>
  </w:style>
  <w:style w:type="paragraph" w:styleId="a3">
    <w:name w:val="footnote text"/>
    <w:basedOn w:val="a"/>
    <w:link w:val="a4"/>
    <w:uiPriority w:val="99"/>
    <w:semiHidden/>
    <w:unhideWhenUsed/>
    <w:rsid w:val="006C65F7"/>
    <w:pPr>
      <w:snapToGrid w:val="0"/>
    </w:pPr>
    <w:rPr>
      <w:sz w:val="20"/>
      <w:szCs w:val="20"/>
    </w:rPr>
  </w:style>
  <w:style w:type="character" w:customStyle="1" w:styleId="a4">
    <w:name w:val="註腳文字 字元"/>
    <w:basedOn w:val="a0"/>
    <w:link w:val="a3"/>
    <w:uiPriority w:val="99"/>
    <w:semiHidden/>
    <w:rsid w:val="006C65F7"/>
    <w:rPr>
      <w:sz w:val="20"/>
      <w:szCs w:val="20"/>
    </w:rPr>
  </w:style>
  <w:style w:type="character" w:styleId="a5">
    <w:name w:val="footnote reference"/>
    <w:basedOn w:val="a0"/>
    <w:uiPriority w:val="99"/>
    <w:semiHidden/>
    <w:unhideWhenUsed/>
    <w:rsid w:val="006C65F7"/>
    <w:rPr>
      <w:vertAlign w:val="superscript"/>
    </w:rPr>
  </w:style>
  <w:style w:type="paragraph" w:styleId="a6">
    <w:name w:val="header"/>
    <w:basedOn w:val="a"/>
    <w:link w:val="a7"/>
    <w:uiPriority w:val="99"/>
    <w:semiHidden/>
    <w:unhideWhenUsed/>
    <w:rsid w:val="00557AD0"/>
    <w:pPr>
      <w:tabs>
        <w:tab w:val="center" w:pos="4153"/>
        <w:tab w:val="right" w:pos="8306"/>
      </w:tabs>
      <w:snapToGrid w:val="0"/>
    </w:pPr>
    <w:rPr>
      <w:sz w:val="20"/>
      <w:szCs w:val="20"/>
    </w:rPr>
  </w:style>
  <w:style w:type="character" w:customStyle="1" w:styleId="a7">
    <w:name w:val="頁首 字元"/>
    <w:basedOn w:val="a0"/>
    <w:link w:val="a6"/>
    <w:uiPriority w:val="99"/>
    <w:semiHidden/>
    <w:rsid w:val="00557AD0"/>
    <w:rPr>
      <w:sz w:val="20"/>
      <w:szCs w:val="20"/>
    </w:rPr>
  </w:style>
  <w:style w:type="paragraph" w:styleId="a8">
    <w:name w:val="footer"/>
    <w:basedOn w:val="a"/>
    <w:link w:val="a9"/>
    <w:uiPriority w:val="99"/>
    <w:semiHidden/>
    <w:unhideWhenUsed/>
    <w:rsid w:val="00557AD0"/>
    <w:pPr>
      <w:tabs>
        <w:tab w:val="center" w:pos="4153"/>
        <w:tab w:val="right" w:pos="8306"/>
      </w:tabs>
      <w:snapToGrid w:val="0"/>
    </w:pPr>
    <w:rPr>
      <w:sz w:val="20"/>
      <w:szCs w:val="20"/>
    </w:rPr>
  </w:style>
  <w:style w:type="character" w:customStyle="1" w:styleId="a9">
    <w:name w:val="頁尾 字元"/>
    <w:basedOn w:val="a0"/>
    <w:link w:val="a8"/>
    <w:uiPriority w:val="99"/>
    <w:semiHidden/>
    <w:rsid w:val="00557AD0"/>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2</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怡蓁</dc:creator>
  <cp:lastModifiedBy>怡蓁</cp:lastModifiedBy>
  <cp:revision>20</cp:revision>
  <cp:lastPrinted>2020-07-03T04:00:00Z</cp:lastPrinted>
  <dcterms:created xsi:type="dcterms:W3CDTF">2020-06-10T03:06:00Z</dcterms:created>
  <dcterms:modified xsi:type="dcterms:W3CDTF">2020-07-06T09:03:00Z</dcterms:modified>
</cp:coreProperties>
</file>