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Bdr>
          <w:top w:val="nil"/>
          <w:left w:val="nil"/>
          <w:bottom w:val="nil"/>
          <w:right w:val="nil"/>
        </w:pBdr>
      </w:pPr>
      <w:r>
        <w:t>SF Module Flow Review for PMS</w:t>
      </w:r>
    </w:p>
    <w:p>
      <w:pPr>
        <w:spacing w:after="200"/>
      </w:pPr>
      <w:r>
        <w:rPr>
          <w:rFonts w:ascii="Arial" w:hAnsi="Arial"/>
          <w:color w:val="505050"/>
          <w:sz w:val="22"/>
        </w:rPr>
        <w:t>From spares quotation to order dispatch and goods acknowledgement</w:t>
      </w:r>
    </w:p>
    <w:p>
      <w:pPr>
        <w:pStyle w:val="Heading1"/>
      </w:pPr>
      <w:r>
        <w:t>Purpose</w:t>
      </w:r>
    </w:p>
    <w:p>
      <w:pPr>
        <w:spacing w:after="160"/>
      </w:pPr>
      <w:r>
        <w:rPr>
          <w:rFonts w:ascii="Arial" w:hAnsi="Arial"/>
          <w:sz w:val="21"/>
        </w:rPr>
        <w:t>This document captures the proposed SF process for the PMS spares module so the PMS team can review and approve the business flow before development starts. The requested flow replaces the earlier built spares execution flow for this module after review approval.</w:t>
      </w:r>
    </w:p>
    <w:p>
      <w:pPr>
        <w:pStyle w:val="Heading1"/>
      </w:pPr>
      <w:r>
        <w:t>Scope Of This Flow</w:t>
      </w:r>
    </w:p>
    <w:p>
      <w:pPr>
        <w:pStyle w:val="ListBullet"/>
        <w:spacing w:after="60"/>
      </w:pPr>
      <w:r>
        <w:rPr>
          <w:rFonts w:ascii="Arial" w:hAnsi="Arial"/>
          <w:sz w:val="21"/>
        </w:rPr>
        <w:t>Starts from quotation finalization in the spares module.</w:t>
      </w:r>
    </w:p>
    <w:p>
      <w:pPr>
        <w:pStyle w:val="ListBullet"/>
        <w:spacing w:after="60"/>
      </w:pPr>
      <w:r>
        <w:rPr>
          <w:rFonts w:ascii="Arial" w:hAnsi="Arial"/>
          <w:sz w:val="21"/>
        </w:rPr>
        <w:t>Covers quotation type, customer PO upload, SF creation, MRP, shortage, design BOM, purchase, store receipt, assembly where applicable, dispatch, and customer acknowledgement.</w:t>
      </w:r>
    </w:p>
    <w:p>
      <w:pPr>
        <w:pStyle w:val="ListBullet"/>
        <w:spacing w:after="60"/>
      </w:pPr>
      <w:r>
        <w:rPr>
          <w:rFonts w:ascii="Arial" w:hAnsi="Arial"/>
          <w:sz w:val="21"/>
        </w:rPr>
        <w:t>Applies to domestic and international dispatch, with document requirements captured country wise.</w:t>
      </w:r>
    </w:p>
    <w:p>
      <w:pPr>
        <w:pStyle w:val="ListBullet"/>
        <w:spacing w:after="60"/>
      </w:pPr>
      <w:r>
        <w:rPr>
          <w:rFonts w:ascii="Arial" w:hAnsi="Arial"/>
          <w:sz w:val="21"/>
        </w:rPr>
        <w:t>Keeps Custom Engg cases separate where Changeover or Speed Upgradation is selected.</w:t>
      </w:r>
    </w:p>
    <w:p>
      <w:pPr>
        <w:pStyle w:val="Heading1"/>
      </w:pPr>
      <w:r>
        <w:t>Mandatory Selection Fields</w:t>
      </w:r>
    </w:p>
    <w:tbl>
      <w:tblPr>
        <w:tblW w:type="auto" w:w="0"/>
        <w:jc w:val="center"/>
        <w:tblLayout w:type="fixed"/>
        <w:tblLook w:firstColumn="1" w:firstRow="1" w:lastColumn="0" w:lastRow="0" w:noHBand="0" w:noVBand="1" w:val="04A0"/>
      </w:tblPr>
      <w:tblGrid>
        <w:gridCol w:w="3408"/>
        <w:gridCol w:w="3408"/>
        <w:gridCol w:w="3408"/>
      </w:tblGrid>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1F4E79"/>
          </w:tcPr>
          <w:p>
            <w:pPr>
              <w:jc w:val="left"/>
            </w:pPr>
            <w:r/>
            <w:r>
              <w:rPr>
                <w:rFonts w:ascii="Arial" w:hAnsi="Arial"/>
                <w:b/>
                <w:color w:val="FFFFFF"/>
                <w:sz w:val="19"/>
              </w:rPr>
              <w:t>Field</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1F4E79"/>
          </w:tcPr>
          <w:p>
            <w:pPr>
              <w:jc w:val="left"/>
            </w:pPr>
            <w:r/>
            <w:r>
              <w:rPr>
                <w:rFonts w:ascii="Arial" w:hAnsi="Arial"/>
                <w:b/>
                <w:color w:val="FFFFFF"/>
                <w:sz w:val="19"/>
              </w:rPr>
              <w:t>Allowed Values</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1F4E79"/>
          </w:tcPr>
          <w:p>
            <w:pPr>
              <w:jc w:val="left"/>
            </w:pPr>
            <w:r/>
            <w:r>
              <w:rPr>
                <w:rFonts w:ascii="Arial" w:hAnsi="Arial"/>
                <w:b/>
                <w:color w:val="FFFFFF"/>
                <w:sz w:val="19"/>
              </w:rPr>
              <w:t>Usage</w:t>
            </w:r>
          </w:p>
        </w:tc>
      </w:tr>
      <w:tr>
        <w:tc>
          <w:tcPr>
            <w:tcW w:type="dxa" w:w="3408"/>
            <w:vAlign w:val="center"/>
          </w:tcPr>
          <w:p>
            <w:pPr>
              <w:jc w:val="left"/>
            </w:pPr>
            <w:r/>
            <w:r>
              <w:rPr>
                <w:rFonts w:ascii="Arial" w:hAnsi="Arial"/>
                <w:b w:val="0"/>
                <w:color w:val="000000"/>
                <w:sz w:val="18"/>
              </w:rPr>
              <w:t>Quotation Type</w:t>
            </w:r>
          </w:p>
        </w:tc>
        <w:tc>
          <w:tcPr>
            <w:tcW w:type="dxa" w:w="3408"/>
            <w:vAlign w:val="center"/>
          </w:tcPr>
          <w:p>
            <w:pPr>
              <w:jc w:val="left"/>
            </w:pPr>
            <w:r/>
            <w:r>
              <w:rPr>
                <w:rFonts w:ascii="Arial" w:hAnsi="Arial"/>
                <w:b w:val="0"/>
                <w:color w:val="000000"/>
                <w:sz w:val="18"/>
              </w:rPr>
              <w:t>Consumable, Critical, Cons + Critical, Custom Engg.</w:t>
            </w:r>
          </w:p>
        </w:tc>
        <w:tc>
          <w:tcPr>
            <w:tcW w:type="dxa" w:w="3408"/>
            <w:vAlign w:val="center"/>
          </w:tcPr>
          <w:p>
            <w:pPr>
              <w:jc w:val="left"/>
            </w:pPr>
            <w:r/>
            <w:r>
              <w:rPr>
                <w:rFonts w:ascii="Arial" w:hAnsi="Arial"/>
                <w:b w:val="0"/>
                <w:color w:val="000000"/>
                <w:sz w:val="18"/>
              </w:rPr>
              <w:t>Required at quotation stage.</w:t>
            </w:r>
          </w:p>
        </w:tc>
      </w:tr>
      <w:tr>
        <w:tc>
          <w:tcPr>
            <w:tcW w:type="dxa" w:w="3408"/>
            <w:vAlign w:val="center"/>
            <w:shd w:fill="F3F7FB"/>
          </w:tcPr>
          <w:p>
            <w:pPr>
              <w:jc w:val="left"/>
            </w:pPr>
            <w:r/>
            <w:r>
              <w:rPr>
                <w:rFonts w:ascii="Arial" w:hAnsi="Arial"/>
                <w:b w:val="0"/>
                <w:color w:val="000000"/>
                <w:sz w:val="18"/>
              </w:rPr>
              <w:t>Dispatch Mode</w:t>
            </w:r>
          </w:p>
        </w:tc>
        <w:tc>
          <w:tcPr>
            <w:tcW w:type="dxa" w:w="3408"/>
            <w:vAlign w:val="center"/>
            <w:shd w:fill="F3F7FB"/>
          </w:tcPr>
          <w:p>
            <w:pPr>
              <w:jc w:val="left"/>
            </w:pPr>
            <w:r/>
            <w:r>
              <w:rPr>
                <w:rFonts w:ascii="Arial" w:hAnsi="Arial"/>
                <w:b w:val="0"/>
                <w:color w:val="000000"/>
                <w:sz w:val="18"/>
              </w:rPr>
              <w:t>Self Pickup, Courier</w:t>
            </w:r>
          </w:p>
        </w:tc>
        <w:tc>
          <w:tcPr>
            <w:tcW w:type="dxa" w:w="3408"/>
            <w:vAlign w:val="center"/>
            <w:shd w:fill="F3F7FB"/>
          </w:tcPr>
          <w:p>
            <w:pPr>
              <w:jc w:val="left"/>
            </w:pPr>
            <w:r/>
            <w:r>
              <w:rPr>
                <w:rFonts w:ascii="Arial" w:hAnsi="Arial"/>
                <w:b w:val="0"/>
                <w:color w:val="000000"/>
                <w:sz w:val="18"/>
              </w:rPr>
              <w:t>Required at quotation stage.</w:t>
            </w:r>
          </w:p>
        </w:tc>
      </w:tr>
      <w:tr>
        <w:tc>
          <w:tcPr>
            <w:tcW w:type="dxa" w:w="3408"/>
            <w:vAlign w:val="center"/>
          </w:tcPr>
          <w:p>
            <w:pPr>
              <w:jc w:val="left"/>
            </w:pPr>
            <w:r/>
            <w:r>
              <w:rPr>
                <w:rFonts w:ascii="Arial" w:hAnsi="Arial"/>
                <w:b w:val="0"/>
                <w:color w:val="000000"/>
                <w:sz w:val="18"/>
              </w:rPr>
              <w:t>Custom Engg Type</w:t>
            </w:r>
          </w:p>
        </w:tc>
        <w:tc>
          <w:tcPr>
            <w:tcW w:type="dxa" w:w="3408"/>
            <w:vAlign w:val="center"/>
          </w:tcPr>
          <w:p>
            <w:pPr>
              <w:jc w:val="left"/>
            </w:pPr>
            <w:r/>
            <w:r>
              <w:rPr>
                <w:rFonts w:ascii="Arial" w:hAnsi="Arial"/>
                <w:b w:val="0"/>
                <w:color w:val="000000"/>
                <w:sz w:val="18"/>
              </w:rPr>
              <w:t>Changeover, Speed Upgradation</w:t>
            </w:r>
          </w:p>
        </w:tc>
        <w:tc>
          <w:tcPr>
            <w:tcW w:type="dxa" w:w="3408"/>
            <w:vAlign w:val="center"/>
          </w:tcPr>
          <w:p>
            <w:pPr>
              <w:jc w:val="left"/>
            </w:pPr>
            <w:r/>
            <w:r>
              <w:rPr>
                <w:rFonts w:ascii="Arial" w:hAnsi="Arial"/>
                <w:b w:val="0"/>
                <w:color w:val="000000"/>
                <w:sz w:val="18"/>
              </w:rPr>
              <w:t>Required only when quotation type is Custom Engg.</w:t>
            </w:r>
          </w:p>
        </w:tc>
      </w:tr>
    </w:tbl>
    <w:p>
      <w:r>
        <w:br w:type="page"/>
      </w:r>
    </w:p>
    <w:p>
      <w:pPr>
        <w:pStyle w:val="Heading1"/>
      </w:pPr>
      <w:r>
        <w:t>Process Flow Diagram</w:t>
      </w:r>
    </w:p>
    <w:p>
      <w:pPr>
        <w:spacing w:after="120"/>
      </w:pPr>
      <w:r>
        <w:rPr>
          <w:rFonts w:ascii="Arial" w:hAnsi="Arial"/>
          <w:sz w:val="21"/>
        </w:rPr>
        <w:t>The diagram below shows the proposed operational sequence and where conditional Custom Engg handling enters the flow.</w:t>
      </w:r>
    </w:p>
    <w:p>
      <w:pPr>
        <w:jc w:val="center"/>
      </w:pPr>
      <w:r>
        <w:drawing>
          <wp:inline xmlns:a="http://schemas.openxmlformats.org/drawingml/2006/main" xmlns:pic="http://schemas.openxmlformats.org/drawingml/2006/picture">
            <wp:extent cx="6263640" cy="5231982"/>
            <wp:docPr id="1" name="Picture 1"/>
            <wp:cNvGraphicFramePr>
              <a:graphicFrameLocks noChangeAspect="1"/>
            </wp:cNvGraphicFramePr>
            <a:graphic>
              <a:graphicData uri="http://schemas.openxmlformats.org/drawingml/2006/picture">
                <pic:pic>
                  <pic:nvPicPr>
                    <pic:cNvPr id="0" name="sf_module_flow_diagram.png"/>
                    <pic:cNvPicPr/>
                  </pic:nvPicPr>
                  <pic:blipFill>
                    <a:blip r:embed="rId9"/>
                    <a:stretch>
                      <a:fillRect/>
                    </a:stretch>
                  </pic:blipFill>
                  <pic:spPr>
                    <a:xfrm>
                      <a:off x="0" y="0"/>
                      <a:ext cx="6263640" cy="5231982"/>
                    </a:xfrm>
                    <a:prstGeom prst="rect"/>
                  </pic:spPr>
                </pic:pic>
              </a:graphicData>
            </a:graphic>
          </wp:inline>
        </w:drawing>
      </w:r>
    </w:p>
    <w:p>
      <w:r>
        <w:br w:type="page"/>
      </w:r>
    </w:p>
    <w:p>
      <w:pPr>
        <w:pStyle w:val="Heading1"/>
      </w:pPr>
      <w:r>
        <w:t>Stage Matrix For Review</w:t>
      </w:r>
    </w:p>
    <w:p>
      <w:pPr>
        <w:spacing w:after="160"/>
      </w:pPr>
      <w:r>
        <w:rPr>
          <w:rFonts w:ascii="Arial" w:hAnsi="Arial"/>
          <w:sz w:val="21"/>
        </w:rPr>
        <w:t>This matrix converts the flow into PMS implementation checkpoints for review.</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60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1F4E79"/>
          </w:tcPr>
          <w:p>
            <w:pPr>
              <w:jc w:val="left"/>
            </w:pPr>
            <w:r/>
            <w:r>
              <w:rPr>
                <w:rFonts w:ascii="Arial" w:hAnsi="Arial"/>
                <w:b/>
                <w:color w:val="FFFFFF"/>
                <w:sz w:val="17"/>
              </w:rPr>
              <w:t>No</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1F4E79"/>
          </w:tcPr>
          <w:p>
            <w:pPr>
              <w:jc w:val="left"/>
            </w:pPr>
            <w:r/>
            <w:r>
              <w:rPr>
                <w:rFonts w:ascii="Arial" w:hAnsi="Arial"/>
                <w:b/>
                <w:color w:val="FFFFFF"/>
                <w:sz w:val="17"/>
              </w:rPr>
              <w:t>Stage</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1F4E79"/>
          </w:tcPr>
          <w:p>
            <w:pPr>
              <w:jc w:val="left"/>
            </w:pPr>
            <w:r/>
            <w:r>
              <w:rPr>
                <w:rFonts w:ascii="Arial" w:hAnsi="Arial"/>
                <w:b/>
                <w:color w:val="FFFFFF"/>
                <w:sz w:val="17"/>
              </w:rPr>
              <w:t>Action</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1F4E79"/>
          </w:tcPr>
          <w:p>
            <w:pPr>
              <w:jc w:val="left"/>
            </w:pPr>
            <w:r/>
            <w:r>
              <w:rPr>
                <w:rFonts w:ascii="Arial" w:hAnsi="Arial"/>
                <w:b/>
                <w:color w:val="FFFFFF"/>
                <w:sz w:val="17"/>
              </w:rPr>
              <w:t>Owner</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1F4E79"/>
          </w:tcPr>
          <w:p>
            <w:pPr>
              <w:jc w:val="left"/>
            </w:pPr>
            <w:r/>
            <w:r>
              <w:rPr>
                <w:rFonts w:ascii="Arial" w:hAnsi="Arial"/>
                <w:b/>
                <w:color w:val="FFFFFF"/>
                <w:sz w:val="17"/>
              </w:rPr>
              <w:t>TAT</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1F4E79"/>
          </w:tcPr>
          <w:p>
            <w:pPr>
              <w:jc w:val="left"/>
            </w:pPr>
            <w:r/>
            <w:r>
              <w:rPr>
                <w:rFonts w:ascii="Arial" w:hAnsi="Arial"/>
                <w:b/>
                <w:color w:val="FFFFFF"/>
                <w:sz w:val="17"/>
              </w:rPr>
              <w:t>PMS Requirement</w:t>
            </w:r>
          </w:p>
        </w:tc>
      </w:tr>
      <w:tr>
        <w:tc>
          <w:tcPr>
            <w:tcW w:type="dxa" w:w="1704"/>
            <w:vAlign w:val="center"/>
          </w:tcPr>
          <w:p>
            <w:pPr>
              <w:jc w:val="center"/>
            </w:pPr>
            <w:r/>
            <w:r>
              <w:rPr>
                <w:rFonts w:ascii="Arial" w:hAnsi="Arial"/>
                <w:b w:val="0"/>
                <w:color w:val="000000"/>
                <w:sz w:val="15"/>
              </w:rPr>
              <w:t>1</w:t>
            </w:r>
          </w:p>
        </w:tc>
        <w:tc>
          <w:tcPr>
            <w:tcW w:type="dxa" w:w="1704"/>
            <w:vAlign w:val="center"/>
          </w:tcPr>
          <w:p>
            <w:pPr>
              <w:jc w:val="left"/>
            </w:pPr>
            <w:r/>
            <w:r>
              <w:rPr>
                <w:rFonts w:ascii="Arial" w:hAnsi="Arial"/>
                <w:b w:val="0"/>
                <w:color w:val="000000"/>
                <w:sz w:val="15"/>
              </w:rPr>
              <w:t>Quotation setup</w:t>
            </w:r>
          </w:p>
        </w:tc>
        <w:tc>
          <w:tcPr>
            <w:tcW w:type="dxa" w:w="1704"/>
            <w:vAlign w:val="center"/>
          </w:tcPr>
          <w:p>
            <w:pPr>
              <w:jc w:val="left"/>
            </w:pPr>
            <w:r/>
            <w:r>
              <w:rPr>
                <w:rFonts w:ascii="Arial" w:hAnsi="Arial"/>
                <w:b w:val="0"/>
                <w:color w:val="000000"/>
                <w:sz w:val="15"/>
              </w:rPr>
              <w:t>Select quotation type, dispatch mode, and Custom Engg subtype if applicable.</w:t>
            </w:r>
          </w:p>
        </w:tc>
        <w:tc>
          <w:tcPr>
            <w:tcW w:type="dxa" w:w="1704"/>
            <w:vAlign w:val="center"/>
          </w:tcPr>
          <w:p>
            <w:pPr>
              <w:jc w:val="left"/>
            </w:pPr>
            <w:r/>
            <w:r>
              <w:rPr>
                <w:rFonts w:ascii="Arial" w:hAnsi="Arial"/>
                <w:b w:val="0"/>
                <w:color w:val="000000"/>
                <w:sz w:val="15"/>
              </w:rPr>
              <w:t>Sales or spares user</w:t>
            </w:r>
          </w:p>
        </w:tc>
        <w:tc>
          <w:tcPr>
            <w:tcW w:type="dxa" w:w="1704"/>
            <w:vAlign w:val="center"/>
          </w:tcPr>
          <w:p>
            <w:pPr>
              <w:jc w:val="center"/>
            </w:pPr>
            <w:r/>
            <w:r>
              <w:rPr>
                <w:rFonts w:ascii="Arial" w:hAnsi="Arial"/>
                <w:b w:val="0"/>
                <w:color w:val="000000"/>
                <w:sz w:val="15"/>
              </w:rPr>
              <w:t>Before order conversion</w:t>
            </w:r>
          </w:p>
        </w:tc>
        <w:tc>
          <w:tcPr>
            <w:tcW w:type="dxa" w:w="1704"/>
            <w:vAlign w:val="center"/>
          </w:tcPr>
          <w:p>
            <w:pPr>
              <w:jc w:val="left"/>
            </w:pPr>
            <w:r/>
            <w:r>
              <w:rPr>
                <w:rFonts w:ascii="Arial" w:hAnsi="Arial"/>
                <w:b w:val="0"/>
                <w:color w:val="000000"/>
                <w:sz w:val="15"/>
              </w:rPr>
              <w:t>Add mandatory fields and validation.</w:t>
            </w:r>
          </w:p>
        </w:tc>
      </w:tr>
      <w:tr>
        <w:tc>
          <w:tcPr>
            <w:tcW w:type="dxa" w:w="1704"/>
            <w:vAlign w:val="center"/>
            <w:shd w:fill="F3F7FB"/>
          </w:tcPr>
          <w:p>
            <w:pPr>
              <w:jc w:val="center"/>
            </w:pPr>
            <w:r/>
            <w:r>
              <w:rPr>
                <w:rFonts w:ascii="Arial" w:hAnsi="Arial"/>
                <w:b w:val="0"/>
                <w:color w:val="000000"/>
                <w:sz w:val="15"/>
              </w:rPr>
              <w:t>2</w:t>
            </w:r>
          </w:p>
        </w:tc>
        <w:tc>
          <w:tcPr>
            <w:tcW w:type="dxa" w:w="1704"/>
            <w:vAlign w:val="center"/>
            <w:shd w:fill="F3F7FB"/>
          </w:tcPr>
          <w:p>
            <w:pPr>
              <w:jc w:val="left"/>
            </w:pPr>
            <w:r/>
            <w:r>
              <w:rPr>
                <w:rFonts w:ascii="Arial" w:hAnsi="Arial"/>
                <w:b w:val="0"/>
                <w:color w:val="000000"/>
                <w:sz w:val="15"/>
              </w:rPr>
              <w:t>Order ownership</w:t>
            </w:r>
          </w:p>
        </w:tc>
        <w:tc>
          <w:tcPr>
            <w:tcW w:type="dxa" w:w="1704"/>
            <w:vAlign w:val="center"/>
            <w:shd w:fill="F3F7FB"/>
          </w:tcPr>
          <w:p>
            <w:pPr>
              <w:jc w:val="left"/>
            </w:pPr>
            <w:r/>
            <w:r>
              <w:rPr>
                <w:rFonts w:ascii="Arial" w:hAnsi="Arial"/>
                <w:b w:val="0"/>
                <w:color w:val="000000"/>
                <w:sz w:val="15"/>
              </w:rPr>
              <w:t>Assign internal order owner and confirm customer PO.</w:t>
            </w:r>
          </w:p>
        </w:tc>
        <w:tc>
          <w:tcPr>
            <w:tcW w:type="dxa" w:w="1704"/>
            <w:vAlign w:val="center"/>
            <w:shd w:fill="F3F7FB"/>
          </w:tcPr>
          <w:p>
            <w:pPr>
              <w:jc w:val="left"/>
            </w:pPr>
            <w:r/>
            <w:r>
              <w:rPr>
                <w:rFonts w:ascii="Arial" w:hAnsi="Arial"/>
                <w:b w:val="0"/>
                <w:color w:val="000000"/>
                <w:sz w:val="15"/>
              </w:rPr>
              <w:t>Order owner</w:t>
            </w:r>
          </w:p>
        </w:tc>
        <w:tc>
          <w:tcPr>
            <w:tcW w:type="dxa" w:w="1704"/>
            <w:vAlign w:val="center"/>
            <w:shd w:fill="F3F7FB"/>
          </w:tcPr>
          <w:p>
            <w:pPr>
              <w:jc w:val="center"/>
            </w:pPr>
            <w:r/>
            <w:r>
              <w:rPr>
                <w:rFonts w:ascii="Arial" w:hAnsi="Arial"/>
                <w:b w:val="0"/>
                <w:color w:val="000000"/>
                <w:sz w:val="15"/>
              </w:rPr>
              <w:t>Before SF creation</w:t>
            </w:r>
          </w:p>
        </w:tc>
        <w:tc>
          <w:tcPr>
            <w:tcW w:type="dxa" w:w="1704"/>
            <w:vAlign w:val="center"/>
            <w:shd w:fill="F3F7FB"/>
          </w:tcPr>
          <w:p>
            <w:pPr>
              <w:jc w:val="left"/>
            </w:pPr>
            <w:r/>
            <w:r>
              <w:rPr>
                <w:rFonts w:ascii="Arial" w:hAnsi="Arial"/>
                <w:b w:val="0"/>
                <w:color w:val="000000"/>
                <w:sz w:val="15"/>
              </w:rPr>
              <w:t>Create order ownership field and PO upload gate.</w:t>
            </w:r>
          </w:p>
        </w:tc>
      </w:tr>
      <w:tr>
        <w:tc>
          <w:tcPr>
            <w:tcW w:type="dxa" w:w="1704"/>
            <w:vAlign w:val="center"/>
          </w:tcPr>
          <w:p>
            <w:pPr>
              <w:jc w:val="center"/>
            </w:pPr>
            <w:r/>
            <w:r>
              <w:rPr>
                <w:rFonts w:ascii="Arial" w:hAnsi="Arial"/>
                <w:b w:val="0"/>
                <w:color w:val="000000"/>
                <w:sz w:val="15"/>
              </w:rPr>
              <w:t>3</w:t>
            </w:r>
          </w:p>
        </w:tc>
        <w:tc>
          <w:tcPr>
            <w:tcW w:type="dxa" w:w="1704"/>
            <w:vAlign w:val="center"/>
          </w:tcPr>
          <w:p>
            <w:pPr>
              <w:jc w:val="left"/>
            </w:pPr>
            <w:r/>
            <w:r>
              <w:rPr>
                <w:rFonts w:ascii="Arial" w:hAnsi="Arial"/>
                <w:b w:val="0"/>
                <w:color w:val="000000"/>
                <w:sz w:val="15"/>
              </w:rPr>
              <w:t>Create SF</w:t>
            </w:r>
          </w:p>
        </w:tc>
        <w:tc>
          <w:tcPr>
            <w:tcW w:type="dxa" w:w="1704"/>
            <w:vAlign w:val="center"/>
          </w:tcPr>
          <w:p>
            <w:pPr>
              <w:jc w:val="left"/>
            </w:pPr>
            <w:r/>
            <w:r>
              <w:rPr>
                <w:rFonts w:ascii="Arial" w:hAnsi="Arial"/>
                <w:b w:val="0"/>
                <w:color w:val="000000"/>
                <w:sz w:val="15"/>
              </w:rPr>
              <w:t>Create SF with document requirements country wise and packing and dispatch duration.</w:t>
            </w:r>
          </w:p>
        </w:tc>
        <w:tc>
          <w:tcPr>
            <w:tcW w:type="dxa" w:w="1704"/>
            <w:vAlign w:val="center"/>
          </w:tcPr>
          <w:p>
            <w:pPr>
              <w:jc w:val="left"/>
            </w:pPr>
            <w:r/>
            <w:r>
              <w:rPr>
                <w:rFonts w:ascii="Arial" w:hAnsi="Arial"/>
                <w:b w:val="0"/>
                <w:color w:val="000000"/>
                <w:sz w:val="15"/>
              </w:rPr>
              <w:t>Tripti</w:t>
            </w:r>
          </w:p>
        </w:tc>
        <w:tc>
          <w:tcPr>
            <w:tcW w:type="dxa" w:w="1704"/>
            <w:vAlign w:val="center"/>
          </w:tcPr>
          <w:p>
            <w:pPr>
              <w:jc w:val="center"/>
            </w:pPr>
            <w:r/>
            <w:r>
              <w:rPr>
                <w:rFonts w:ascii="Arial" w:hAnsi="Arial"/>
                <w:b w:val="0"/>
                <w:color w:val="000000"/>
                <w:sz w:val="15"/>
              </w:rPr>
              <w:t>1 day</w:t>
            </w:r>
          </w:p>
        </w:tc>
        <w:tc>
          <w:tcPr>
            <w:tcW w:type="dxa" w:w="1704"/>
            <w:vAlign w:val="center"/>
          </w:tcPr>
          <w:p>
            <w:pPr>
              <w:jc w:val="left"/>
            </w:pPr>
            <w:r/>
            <w:r>
              <w:rPr>
                <w:rFonts w:ascii="Arial" w:hAnsi="Arial"/>
                <w:b w:val="0"/>
                <w:color w:val="000000"/>
                <w:sz w:val="15"/>
              </w:rPr>
              <w:t>SF form must capture domestic or international handling.</w:t>
            </w:r>
          </w:p>
        </w:tc>
      </w:tr>
      <w:tr>
        <w:tc>
          <w:tcPr>
            <w:tcW w:type="dxa" w:w="1704"/>
            <w:vAlign w:val="center"/>
            <w:shd w:fill="F3F7FB"/>
          </w:tcPr>
          <w:p>
            <w:pPr>
              <w:jc w:val="center"/>
            </w:pPr>
            <w:r/>
            <w:r>
              <w:rPr>
                <w:rFonts w:ascii="Arial" w:hAnsi="Arial"/>
                <w:b w:val="0"/>
                <w:color w:val="000000"/>
                <w:sz w:val="15"/>
              </w:rPr>
              <w:t>4</w:t>
            </w:r>
          </w:p>
        </w:tc>
        <w:tc>
          <w:tcPr>
            <w:tcW w:type="dxa" w:w="1704"/>
            <w:vAlign w:val="center"/>
            <w:shd w:fill="F3F7FB"/>
          </w:tcPr>
          <w:p>
            <w:pPr>
              <w:jc w:val="left"/>
            </w:pPr>
            <w:r/>
            <w:r>
              <w:rPr>
                <w:rFonts w:ascii="Arial" w:hAnsi="Arial"/>
                <w:b w:val="0"/>
                <w:color w:val="000000"/>
                <w:sz w:val="15"/>
              </w:rPr>
              <w:t>Run MRP</w:t>
            </w:r>
          </w:p>
        </w:tc>
        <w:tc>
          <w:tcPr>
            <w:tcW w:type="dxa" w:w="1704"/>
            <w:vAlign w:val="center"/>
            <w:shd w:fill="F3F7FB"/>
          </w:tcPr>
          <w:p>
            <w:pPr>
              <w:jc w:val="left"/>
            </w:pPr>
            <w:r/>
            <w:r>
              <w:rPr>
                <w:rFonts w:ascii="Arial" w:hAnsi="Arial"/>
                <w:b w:val="0"/>
                <w:color w:val="000000"/>
                <w:sz w:val="15"/>
              </w:rPr>
              <w:t>Run MRP from order dashboard after SF is created.</w:t>
            </w:r>
          </w:p>
        </w:tc>
        <w:tc>
          <w:tcPr>
            <w:tcW w:type="dxa" w:w="1704"/>
            <w:vAlign w:val="center"/>
            <w:shd w:fill="F3F7FB"/>
          </w:tcPr>
          <w:p>
            <w:pPr>
              <w:jc w:val="left"/>
            </w:pPr>
            <w:r/>
            <w:r>
              <w:rPr>
                <w:rFonts w:ascii="Arial" w:hAnsi="Arial"/>
                <w:b w:val="0"/>
                <w:color w:val="000000"/>
                <w:sz w:val="15"/>
              </w:rPr>
              <w:t>Jitender</w:t>
            </w:r>
          </w:p>
        </w:tc>
        <w:tc>
          <w:tcPr>
            <w:tcW w:type="dxa" w:w="1704"/>
            <w:vAlign w:val="center"/>
            <w:shd w:fill="F3F7FB"/>
          </w:tcPr>
          <w:p>
            <w:pPr>
              <w:jc w:val="center"/>
            </w:pPr>
            <w:r/>
            <w:r>
              <w:rPr>
                <w:rFonts w:ascii="Arial" w:hAnsi="Arial"/>
                <w:b w:val="0"/>
                <w:color w:val="000000"/>
                <w:sz w:val="15"/>
              </w:rPr>
              <w:t>Same day</w:t>
            </w:r>
          </w:p>
        </w:tc>
        <w:tc>
          <w:tcPr>
            <w:tcW w:type="dxa" w:w="1704"/>
            <w:vAlign w:val="center"/>
            <w:shd w:fill="F3F7FB"/>
          </w:tcPr>
          <w:p>
            <w:pPr>
              <w:jc w:val="left"/>
            </w:pPr>
            <w:r/>
            <w:r>
              <w:rPr>
                <w:rFonts w:ascii="Arial" w:hAnsi="Arial"/>
                <w:b w:val="0"/>
                <w:color w:val="000000"/>
                <w:sz w:val="15"/>
              </w:rPr>
              <w:t>Add dashboard action and date stamp.</w:t>
            </w:r>
          </w:p>
        </w:tc>
      </w:tr>
      <w:tr>
        <w:tc>
          <w:tcPr>
            <w:tcW w:type="dxa" w:w="1704"/>
            <w:vAlign w:val="center"/>
          </w:tcPr>
          <w:p>
            <w:pPr>
              <w:jc w:val="center"/>
            </w:pPr>
            <w:r/>
            <w:r>
              <w:rPr>
                <w:rFonts w:ascii="Arial" w:hAnsi="Arial"/>
                <w:b w:val="0"/>
                <w:color w:val="000000"/>
                <w:sz w:val="15"/>
              </w:rPr>
              <w:t>5</w:t>
            </w:r>
          </w:p>
        </w:tc>
        <w:tc>
          <w:tcPr>
            <w:tcW w:type="dxa" w:w="1704"/>
            <w:vAlign w:val="center"/>
          </w:tcPr>
          <w:p>
            <w:pPr>
              <w:jc w:val="left"/>
            </w:pPr>
            <w:r/>
            <w:r>
              <w:rPr>
                <w:rFonts w:ascii="Arial" w:hAnsi="Arial"/>
                <w:b w:val="0"/>
                <w:color w:val="000000"/>
                <w:sz w:val="15"/>
              </w:rPr>
              <w:t>Shortage report</w:t>
            </w:r>
          </w:p>
        </w:tc>
        <w:tc>
          <w:tcPr>
            <w:tcW w:type="dxa" w:w="1704"/>
            <w:vAlign w:val="center"/>
          </w:tcPr>
          <w:p>
            <w:pPr>
              <w:jc w:val="left"/>
            </w:pPr>
            <w:r/>
            <w:r>
              <w:rPr>
                <w:rFonts w:ascii="Arial" w:hAnsi="Arial"/>
                <w:b w:val="0"/>
                <w:color w:val="000000"/>
                <w:sz w:val="15"/>
              </w:rPr>
              <w:t>Generate shortage report once SF is created.</w:t>
            </w:r>
          </w:p>
        </w:tc>
        <w:tc>
          <w:tcPr>
            <w:tcW w:type="dxa" w:w="1704"/>
            <w:vAlign w:val="center"/>
          </w:tcPr>
          <w:p>
            <w:pPr>
              <w:jc w:val="left"/>
            </w:pPr>
            <w:r/>
            <w:r>
              <w:rPr>
                <w:rFonts w:ascii="Arial" w:hAnsi="Arial"/>
                <w:b w:val="0"/>
                <w:color w:val="000000"/>
                <w:sz w:val="15"/>
              </w:rPr>
              <w:t>Jitender</w:t>
            </w:r>
          </w:p>
        </w:tc>
        <w:tc>
          <w:tcPr>
            <w:tcW w:type="dxa" w:w="1704"/>
            <w:vAlign w:val="center"/>
          </w:tcPr>
          <w:p>
            <w:pPr>
              <w:jc w:val="center"/>
            </w:pPr>
            <w:r/>
            <w:r>
              <w:rPr>
                <w:rFonts w:ascii="Arial" w:hAnsi="Arial"/>
                <w:b w:val="0"/>
                <w:color w:val="000000"/>
                <w:sz w:val="15"/>
              </w:rPr>
              <w:t>Same day</w:t>
            </w:r>
          </w:p>
        </w:tc>
        <w:tc>
          <w:tcPr>
            <w:tcW w:type="dxa" w:w="1704"/>
            <w:vAlign w:val="center"/>
          </w:tcPr>
          <w:p>
            <w:pPr>
              <w:jc w:val="left"/>
            </w:pPr>
            <w:r/>
            <w:r>
              <w:rPr>
                <w:rFonts w:ascii="Arial" w:hAnsi="Arial"/>
                <w:b w:val="0"/>
                <w:color w:val="000000"/>
                <w:sz w:val="15"/>
              </w:rPr>
              <w:t>Link shortage report to SF and MRP result.</w:t>
            </w:r>
          </w:p>
        </w:tc>
      </w:tr>
      <w:tr>
        <w:tc>
          <w:tcPr>
            <w:tcW w:type="dxa" w:w="1704"/>
            <w:vAlign w:val="center"/>
            <w:shd w:fill="F3F7FB"/>
          </w:tcPr>
          <w:p>
            <w:pPr>
              <w:jc w:val="center"/>
            </w:pPr>
            <w:r/>
            <w:r>
              <w:rPr>
                <w:rFonts w:ascii="Arial" w:hAnsi="Arial"/>
                <w:b w:val="0"/>
                <w:color w:val="000000"/>
                <w:sz w:val="15"/>
              </w:rPr>
              <w:t>6</w:t>
            </w:r>
          </w:p>
        </w:tc>
        <w:tc>
          <w:tcPr>
            <w:tcW w:type="dxa" w:w="1704"/>
            <w:vAlign w:val="center"/>
            <w:shd w:fill="F3F7FB"/>
          </w:tcPr>
          <w:p>
            <w:pPr>
              <w:jc w:val="left"/>
            </w:pPr>
            <w:r/>
            <w:r>
              <w:rPr>
                <w:rFonts w:ascii="Arial" w:hAnsi="Arial"/>
                <w:b w:val="0"/>
                <w:color w:val="000000"/>
                <w:sz w:val="15"/>
              </w:rPr>
              <w:t>Design and BOM</w:t>
            </w:r>
          </w:p>
        </w:tc>
        <w:tc>
          <w:tcPr>
            <w:tcW w:type="dxa" w:w="1704"/>
            <w:vAlign w:val="center"/>
            <w:shd w:fill="F3F7FB"/>
          </w:tcPr>
          <w:p>
            <w:pPr>
              <w:jc w:val="left"/>
            </w:pPr>
            <w:r/>
            <w:r>
              <w:rPr>
                <w:rFonts w:ascii="Arial" w:hAnsi="Arial"/>
                <w:b w:val="0"/>
                <w:color w:val="000000"/>
                <w:sz w:val="15"/>
              </w:rPr>
              <w:t>Complete design requirement and BOM, mainly for Custom Engg where needed.</w:t>
            </w:r>
          </w:p>
        </w:tc>
        <w:tc>
          <w:tcPr>
            <w:tcW w:type="dxa" w:w="1704"/>
            <w:vAlign w:val="center"/>
            <w:shd w:fill="F3F7FB"/>
          </w:tcPr>
          <w:p>
            <w:pPr>
              <w:jc w:val="left"/>
            </w:pPr>
            <w:r/>
            <w:r>
              <w:rPr>
                <w:rFonts w:ascii="Arial" w:hAnsi="Arial"/>
                <w:b w:val="0"/>
                <w:color w:val="000000"/>
                <w:sz w:val="15"/>
              </w:rPr>
              <w:t>Design team</w:t>
            </w:r>
          </w:p>
        </w:tc>
        <w:tc>
          <w:tcPr>
            <w:tcW w:type="dxa" w:w="1704"/>
            <w:vAlign w:val="center"/>
            <w:shd w:fill="F3F7FB"/>
          </w:tcPr>
          <w:p>
            <w:pPr>
              <w:jc w:val="center"/>
            </w:pPr>
            <w:r/>
            <w:r>
              <w:rPr>
                <w:rFonts w:ascii="Arial" w:hAnsi="Arial"/>
                <w:b w:val="0"/>
                <w:color w:val="000000"/>
                <w:sz w:val="15"/>
              </w:rPr>
              <w:t>1 week</w:t>
            </w:r>
          </w:p>
        </w:tc>
        <w:tc>
          <w:tcPr>
            <w:tcW w:type="dxa" w:w="1704"/>
            <w:vAlign w:val="center"/>
            <w:shd w:fill="F3F7FB"/>
          </w:tcPr>
          <w:p>
            <w:pPr>
              <w:jc w:val="left"/>
            </w:pPr>
            <w:r/>
            <w:r>
              <w:rPr>
                <w:rFonts w:ascii="Arial" w:hAnsi="Arial"/>
                <w:b w:val="0"/>
                <w:color w:val="000000"/>
                <w:sz w:val="15"/>
              </w:rPr>
              <w:t>Track BOM completion and design TAT.</w:t>
            </w:r>
          </w:p>
        </w:tc>
      </w:tr>
      <w:tr>
        <w:tc>
          <w:tcPr>
            <w:tcW w:type="dxa" w:w="1704"/>
            <w:vAlign w:val="center"/>
          </w:tcPr>
          <w:p>
            <w:pPr>
              <w:jc w:val="center"/>
            </w:pPr>
            <w:r/>
            <w:r>
              <w:rPr>
                <w:rFonts w:ascii="Arial" w:hAnsi="Arial"/>
                <w:b w:val="0"/>
                <w:color w:val="000000"/>
                <w:sz w:val="15"/>
              </w:rPr>
              <w:t>7</w:t>
            </w:r>
          </w:p>
        </w:tc>
        <w:tc>
          <w:tcPr>
            <w:tcW w:type="dxa" w:w="1704"/>
            <w:vAlign w:val="center"/>
          </w:tcPr>
          <w:p>
            <w:pPr>
              <w:jc w:val="left"/>
            </w:pPr>
            <w:r/>
            <w:r>
              <w:rPr>
                <w:rFonts w:ascii="Arial" w:hAnsi="Arial"/>
                <w:b w:val="0"/>
                <w:color w:val="000000"/>
                <w:sz w:val="15"/>
              </w:rPr>
              <w:t>Packing and logistics</w:t>
            </w:r>
          </w:p>
        </w:tc>
        <w:tc>
          <w:tcPr>
            <w:tcW w:type="dxa" w:w="1704"/>
            <w:vAlign w:val="center"/>
          </w:tcPr>
          <w:p>
            <w:pPr>
              <w:jc w:val="left"/>
            </w:pPr>
            <w:r/>
            <w:r>
              <w:rPr>
                <w:rFonts w:ascii="Arial" w:hAnsi="Arial"/>
                <w:b w:val="0"/>
                <w:color w:val="000000"/>
                <w:sz w:val="15"/>
              </w:rPr>
              <w:t>Calculate packing boxes and arrange logistics.</w:t>
            </w:r>
          </w:p>
        </w:tc>
        <w:tc>
          <w:tcPr>
            <w:tcW w:type="dxa" w:w="1704"/>
            <w:vAlign w:val="center"/>
          </w:tcPr>
          <w:p>
            <w:pPr>
              <w:jc w:val="left"/>
            </w:pPr>
            <w:r/>
            <w:r>
              <w:rPr>
                <w:rFonts w:ascii="Arial" w:hAnsi="Arial"/>
                <w:b w:val="0"/>
                <w:color w:val="000000"/>
                <w:sz w:val="15"/>
              </w:rPr>
              <w:t>Planning or logistics</w:t>
            </w:r>
          </w:p>
        </w:tc>
        <w:tc>
          <w:tcPr>
            <w:tcW w:type="dxa" w:w="1704"/>
            <w:vAlign w:val="center"/>
          </w:tcPr>
          <w:p>
            <w:pPr>
              <w:jc w:val="center"/>
            </w:pPr>
            <w:r/>
            <w:r>
              <w:rPr>
                <w:rFonts w:ascii="Arial" w:hAnsi="Arial"/>
                <w:b w:val="0"/>
                <w:color w:val="000000"/>
                <w:sz w:val="15"/>
              </w:rPr>
              <w:t>Before dispatch readiness</w:t>
            </w:r>
          </w:p>
        </w:tc>
        <w:tc>
          <w:tcPr>
            <w:tcW w:type="dxa" w:w="1704"/>
            <w:vAlign w:val="center"/>
          </w:tcPr>
          <w:p>
            <w:pPr>
              <w:jc w:val="left"/>
            </w:pPr>
            <w:r/>
            <w:r>
              <w:rPr>
                <w:rFonts w:ascii="Arial" w:hAnsi="Arial"/>
                <w:b w:val="0"/>
                <w:color w:val="000000"/>
                <w:sz w:val="15"/>
              </w:rPr>
              <w:t>Capture box count and logistics status.</w:t>
            </w:r>
          </w:p>
        </w:tc>
      </w:tr>
      <w:tr>
        <w:tc>
          <w:tcPr>
            <w:tcW w:type="dxa" w:w="1704"/>
            <w:vAlign w:val="center"/>
            <w:shd w:fill="F3F7FB"/>
          </w:tcPr>
          <w:p>
            <w:pPr>
              <w:jc w:val="center"/>
            </w:pPr>
            <w:r/>
            <w:r>
              <w:rPr>
                <w:rFonts w:ascii="Arial" w:hAnsi="Arial"/>
                <w:b w:val="0"/>
                <w:color w:val="000000"/>
                <w:sz w:val="15"/>
              </w:rPr>
              <w:t>8</w:t>
            </w:r>
          </w:p>
        </w:tc>
        <w:tc>
          <w:tcPr>
            <w:tcW w:type="dxa" w:w="1704"/>
            <w:vAlign w:val="center"/>
            <w:shd w:fill="F3F7FB"/>
          </w:tcPr>
          <w:p>
            <w:pPr>
              <w:jc w:val="left"/>
            </w:pPr>
            <w:r/>
            <w:r>
              <w:rPr>
                <w:rFonts w:ascii="Arial" w:hAnsi="Arial"/>
                <w:b w:val="0"/>
                <w:color w:val="000000"/>
                <w:sz w:val="15"/>
              </w:rPr>
              <w:t>Raise indent</w:t>
            </w:r>
          </w:p>
        </w:tc>
        <w:tc>
          <w:tcPr>
            <w:tcW w:type="dxa" w:w="1704"/>
            <w:vAlign w:val="center"/>
            <w:shd w:fill="F3F7FB"/>
          </w:tcPr>
          <w:p>
            <w:pPr>
              <w:jc w:val="left"/>
            </w:pPr>
            <w:r/>
            <w:r>
              <w:rPr>
                <w:rFonts w:ascii="Arial" w:hAnsi="Arial"/>
                <w:b w:val="0"/>
                <w:color w:val="000000"/>
                <w:sz w:val="15"/>
              </w:rPr>
              <w:t>Raise indent to Purchase.</w:t>
            </w:r>
          </w:p>
        </w:tc>
        <w:tc>
          <w:tcPr>
            <w:tcW w:type="dxa" w:w="1704"/>
            <w:vAlign w:val="center"/>
            <w:shd w:fill="F3F7FB"/>
          </w:tcPr>
          <w:p>
            <w:pPr>
              <w:jc w:val="left"/>
            </w:pPr>
            <w:r/>
            <w:r>
              <w:rPr>
                <w:rFonts w:ascii="Arial" w:hAnsi="Arial"/>
                <w:b w:val="0"/>
                <w:color w:val="000000"/>
                <w:sz w:val="15"/>
              </w:rPr>
              <w:t>Jitender</w:t>
            </w:r>
          </w:p>
        </w:tc>
        <w:tc>
          <w:tcPr>
            <w:tcW w:type="dxa" w:w="1704"/>
            <w:vAlign w:val="center"/>
            <w:shd w:fill="F3F7FB"/>
          </w:tcPr>
          <w:p>
            <w:pPr>
              <w:jc w:val="center"/>
            </w:pPr>
            <w:r/>
            <w:r>
              <w:rPr>
                <w:rFonts w:ascii="Arial" w:hAnsi="Arial"/>
                <w:b w:val="0"/>
                <w:color w:val="000000"/>
                <w:sz w:val="15"/>
              </w:rPr>
              <w:t>Same day</w:t>
            </w:r>
          </w:p>
        </w:tc>
        <w:tc>
          <w:tcPr>
            <w:tcW w:type="dxa" w:w="1704"/>
            <w:vAlign w:val="center"/>
            <w:shd w:fill="F3F7FB"/>
          </w:tcPr>
          <w:p>
            <w:pPr>
              <w:jc w:val="left"/>
            </w:pPr>
            <w:r/>
            <w:r>
              <w:rPr>
                <w:rFonts w:ascii="Arial" w:hAnsi="Arial"/>
                <w:b w:val="0"/>
                <w:color w:val="000000"/>
                <w:sz w:val="15"/>
              </w:rPr>
              <w:t>Indent should be generated from approved requirement.</w:t>
            </w:r>
          </w:p>
        </w:tc>
      </w:tr>
      <w:tr>
        <w:tc>
          <w:tcPr>
            <w:tcW w:type="dxa" w:w="1704"/>
            <w:vAlign w:val="center"/>
          </w:tcPr>
          <w:p>
            <w:pPr>
              <w:jc w:val="center"/>
            </w:pPr>
            <w:r/>
            <w:r>
              <w:rPr>
                <w:rFonts w:ascii="Arial" w:hAnsi="Arial"/>
                <w:b w:val="0"/>
                <w:color w:val="000000"/>
                <w:sz w:val="15"/>
              </w:rPr>
              <w:t>9</w:t>
            </w:r>
          </w:p>
        </w:tc>
        <w:tc>
          <w:tcPr>
            <w:tcW w:type="dxa" w:w="1704"/>
            <w:vAlign w:val="center"/>
          </w:tcPr>
          <w:p>
            <w:pPr>
              <w:jc w:val="left"/>
            </w:pPr>
            <w:r/>
            <w:r>
              <w:rPr>
                <w:rFonts w:ascii="Arial" w:hAnsi="Arial"/>
                <w:b w:val="0"/>
                <w:color w:val="000000"/>
                <w:sz w:val="15"/>
              </w:rPr>
              <w:t>Purchase PO</w:t>
            </w:r>
          </w:p>
        </w:tc>
        <w:tc>
          <w:tcPr>
            <w:tcW w:type="dxa" w:w="1704"/>
            <w:vAlign w:val="center"/>
          </w:tcPr>
          <w:p>
            <w:pPr>
              <w:jc w:val="left"/>
            </w:pPr>
            <w:r/>
            <w:r>
              <w:rPr>
                <w:rFonts w:ascii="Arial" w:hAnsi="Arial"/>
                <w:b w:val="0"/>
                <w:color w:val="000000"/>
                <w:sz w:val="15"/>
              </w:rPr>
              <w:t>Raise Mechanical PO, BOP PO, Sec 6 PO, and Automation PO.</w:t>
            </w:r>
          </w:p>
        </w:tc>
        <w:tc>
          <w:tcPr>
            <w:tcW w:type="dxa" w:w="1704"/>
            <w:vAlign w:val="center"/>
          </w:tcPr>
          <w:p>
            <w:pPr>
              <w:jc w:val="left"/>
            </w:pPr>
            <w:r/>
            <w:r>
              <w:rPr>
                <w:rFonts w:ascii="Arial" w:hAnsi="Arial"/>
                <w:b w:val="0"/>
                <w:color w:val="000000"/>
                <w:sz w:val="15"/>
              </w:rPr>
              <w:t>Purchase department</w:t>
            </w:r>
          </w:p>
        </w:tc>
        <w:tc>
          <w:tcPr>
            <w:tcW w:type="dxa" w:w="1704"/>
            <w:vAlign w:val="center"/>
          </w:tcPr>
          <w:p>
            <w:pPr>
              <w:jc w:val="center"/>
            </w:pPr>
            <w:r/>
            <w:r>
              <w:rPr>
                <w:rFonts w:ascii="Arial" w:hAnsi="Arial"/>
                <w:b w:val="0"/>
                <w:color w:val="000000"/>
                <w:sz w:val="15"/>
              </w:rPr>
              <w:t>As per purchase process</w:t>
            </w:r>
          </w:p>
        </w:tc>
        <w:tc>
          <w:tcPr>
            <w:tcW w:type="dxa" w:w="1704"/>
            <w:vAlign w:val="center"/>
          </w:tcPr>
          <w:p>
            <w:pPr>
              <w:jc w:val="left"/>
            </w:pPr>
            <w:r/>
            <w:r>
              <w:rPr>
                <w:rFonts w:ascii="Arial" w:hAnsi="Arial"/>
                <w:b w:val="0"/>
                <w:color w:val="000000"/>
                <w:sz w:val="15"/>
              </w:rPr>
              <w:t>Track each PO group separately.</w:t>
            </w:r>
          </w:p>
        </w:tc>
      </w:tr>
      <w:tr>
        <w:tc>
          <w:tcPr>
            <w:tcW w:type="dxa" w:w="1704"/>
            <w:vAlign w:val="center"/>
            <w:shd w:fill="F3F7FB"/>
          </w:tcPr>
          <w:p>
            <w:pPr>
              <w:jc w:val="center"/>
            </w:pPr>
            <w:r/>
            <w:r>
              <w:rPr>
                <w:rFonts w:ascii="Arial" w:hAnsi="Arial"/>
                <w:b w:val="0"/>
                <w:color w:val="000000"/>
                <w:sz w:val="15"/>
              </w:rPr>
              <w:t>10</w:t>
            </w:r>
          </w:p>
        </w:tc>
        <w:tc>
          <w:tcPr>
            <w:tcW w:type="dxa" w:w="1704"/>
            <w:vAlign w:val="center"/>
            <w:shd w:fill="F3F7FB"/>
          </w:tcPr>
          <w:p>
            <w:pPr>
              <w:jc w:val="left"/>
            </w:pPr>
            <w:r/>
            <w:r>
              <w:rPr>
                <w:rFonts w:ascii="Arial" w:hAnsi="Arial"/>
                <w:b w:val="0"/>
                <w:color w:val="000000"/>
                <w:sz w:val="15"/>
              </w:rPr>
              <w:t>Store receipt</w:t>
            </w:r>
          </w:p>
        </w:tc>
        <w:tc>
          <w:tcPr>
            <w:tcW w:type="dxa" w:w="1704"/>
            <w:vAlign w:val="center"/>
            <w:shd w:fill="F3F7FB"/>
          </w:tcPr>
          <w:p>
            <w:pPr>
              <w:jc w:val="left"/>
            </w:pPr>
            <w:r/>
            <w:r>
              <w:rPr>
                <w:rFonts w:ascii="Arial" w:hAnsi="Arial"/>
                <w:b w:val="0"/>
                <w:color w:val="000000"/>
                <w:sz w:val="15"/>
              </w:rPr>
              <w:t>Receive items group wise.</w:t>
            </w:r>
          </w:p>
        </w:tc>
        <w:tc>
          <w:tcPr>
            <w:tcW w:type="dxa" w:w="1704"/>
            <w:vAlign w:val="center"/>
            <w:shd w:fill="F3F7FB"/>
          </w:tcPr>
          <w:p>
            <w:pPr>
              <w:jc w:val="left"/>
            </w:pPr>
            <w:r/>
            <w:r>
              <w:rPr>
                <w:rFonts w:ascii="Arial" w:hAnsi="Arial"/>
                <w:b w:val="0"/>
                <w:color w:val="000000"/>
                <w:sz w:val="15"/>
              </w:rPr>
              <w:t>Store</w:t>
            </w:r>
          </w:p>
        </w:tc>
        <w:tc>
          <w:tcPr>
            <w:tcW w:type="dxa" w:w="1704"/>
            <w:vAlign w:val="center"/>
            <w:shd w:fill="F3F7FB"/>
          </w:tcPr>
          <w:p>
            <w:pPr>
              <w:jc w:val="center"/>
            </w:pPr>
            <w:r/>
            <w:r>
              <w:rPr>
                <w:rFonts w:ascii="Arial" w:hAnsi="Arial"/>
                <w:b w:val="0"/>
                <w:color w:val="000000"/>
                <w:sz w:val="15"/>
              </w:rPr>
              <w:t>3 weeks</w:t>
            </w:r>
          </w:p>
        </w:tc>
        <w:tc>
          <w:tcPr>
            <w:tcW w:type="dxa" w:w="1704"/>
            <w:vAlign w:val="center"/>
            <w:shd w:fill="F3F7FB"/>
          </w:tcPr>
          <w:p>
            <w:pPr>
              <w:jc w:val="left"/>
            </w:pPr>
            <w:r/>
            <w:r>
              <w:rPr>
                <w:rFonts w:ascii="Arial" w:hAnsi="Arial"/>
                <w:b w:val="0"/>
                <w:color w:val="000000"/>
                <w:sz w:val="15"/>
              </w:rPr>
              <w:t>Store receipt must update group wise readiness.</w:t>
            </w:r>
          </w:p>
        </w:tc>
      </w:tr>
      <w:tr>
        <w:tc>
          <w:tcPr>
            <w:tcW w:type="dxa" w:w="1704"/>
            <w:vAlign w:val="center"/>
          </w:tcPr>
          <w:p>
            <w:pPr>
              <w:jc w:val="center"/>
            </w:pPr>
            <w:r/>
            <w:r>
              <w:rPr>
                <w:rFonts w:ascii="Arial" w:hAnsi="Arial"/>
                <w:b w:val="0"/>
                <w:color w:val="000000"/>
                <w:sz w:val="15"/>
              </w:rPr>
              <w:t>11</w:t>
            </w:r>
          </w:p>
        </w:tc>
        <w:tc>
          <w:tcPr>
            <w:tcW w:type="dxa" w:w="1704"/>
            <w:vAlign w:val="center"/>
          </w:tcPr>
          <w:p>
            <w:pPr>
              <w:jc w:val="left"/>
            </w:pPr>
            <w:r/>
            <w:r>
              <w:rPr>
                <w:rFonts w:ascii="Arial" w:hAnsi="Arial"/>
                <w:b w:val="0"/>
                <w:color w:val="000000"/>
                <w:sz w:val="15"/>
              </w:rPr>
              <w:t>Assembly for CE</w:t>
            </w:r>
          </w:p>
        </w:tc>
        <w:tc>
          <w:tcPr>
            <w:tcW w:type="dxa" w:w="1704"/>
            <w:vAlign w:val="center"/>
          </w:tcPr>
          <w:p>
            <w:pPr>
              <w:jc w:val="left"/>
            </w:pPr>
            <w:r/>
            <w:r>
              <w:rPr>
                <w:rFonts w:ascii="Arial" w:hAnsi="Arial"/>
                <w:b w:val="0"/>
                <w:color w:val="000000"/>
                <w:sz w:val="15"/>
              </w:rPr>
              <w:t>Complete assembly for Custom Engg cases.</w:t>
            </w:r>
          </w:p>
        </w:tc>
        <w:tc>
          <w:tcPr>
            <w:tcW w:type="dxa" w:w="1704"/>
            <w:vAlign w:val="center"/>
          </w:tcPr>
          <w:p>
            <w:pPr>
              <w:jc w:val="left"/>
            </w:pPr>
            <w:r/>
            <w:r>
              <w:rPr>
                <w:rFonts w:ascii="Arial" w:hAnsi="Arial"/>
                <w:b w:val="0"/>
                <w:color w:val="000000"/>
                <w:sz w:val="15"/>
              </w:rPr>
              <w:t>Assembly team</w:t>
            </w:r>
          </w:p>
        </w:tc>
        <w:tc>
          <w:tcPr>
            <w:tcW w:type="dxa" w:w="1704"/>
            <w:vAlign w:val="center"/>
          </w:tcPr>
          <w:p>
            <w:pPr>
              <w:jc w:val="center"/>
            </w:pPr>
            <w:r/>
            <w:r>
              <w:rPr>
                <w:rFonts w:ascii="Arial" w:hAnsi="Arial"/>
                <w:b w:val="0"/>
                <w:color w:val="000000"/>
                <w:sz w:val="15"/>
              </w:rPr>
              <w:t>3 to 4 days</w:t>
            </w:r>
          </w:p>
        </w:tc>
        <w:tc>
          <w:tcPr>
            <w:tcW w:type="dxa" w:w="1704"/>
            <w:vAlign w:val="center"/>
          </w:tcPr>
          <w:p>
            <w:pPr>
              <w:jc w:val="left"/>
            </w:pPr>
            <w:r/>
            <w:r>
              <w:rPr>
                <w:rFonts w:ascii="Arial" w:hAnsi="Arial"/>
                <w:b w:val="0"/>
                <w:color w:val="000000"/>
                <w:sz w:val="15"/>
              </w:rPr>
              <w:t>Conditional stage when Custom Engg is selected.</w:t>
            </w:r>
          </w:p>
        </w:tc>
      </w:tr>
      <w:tr>
        <w:tc>
          <w:tcPr>
            <w:tcW w:type="dxa" w:w="1704"/>
            <w:vAlign w:val="center"/>
            <w:shd w:fill="F3F7FB"/>
          </w:tcPr>
          <w:p>
            <w:pPr>
              <w:jc w:val="center"/>
            </w:pPr>
            <w:r/>
            <w:r>
              <w:rPr>
                <w:rFonts w:ascii="Arial" w:hAnsi="Arial"/>
                <w:b w:val="0"/>
                <w:color w:val="000000"/>
                <w:sz w:val="15"/>
              </w:rPr>
              <w:t>12</w:t>
            </w:r>
          </w:p>
        </w:tc>
        <w:tc>
          <w:tcPr>
            <w:tcW w:type="dxa" w:w="1704"/>
            <w:vAlign w:val="center"/>
            <w:shd w:fill="F3F7FB"/>
          </w:tcPr>
          <w:p>
            <w:pPr>
              <w:jc w:val="left"/>
            </w:pPr>
            <w:r/>
            <w:r>
              <w:rPr>
                <w:rFonts w:ascii="Arial" w:hAnsi="Arial"/>
                <w:b w:val="0"/>
                <w:color w:val="000000"/>
                <w:sz w:val="15"/>
              </w:rPr>
              <w:t>Dispatch</w:t>
            </w:r>
          </w:p>
        </w:tc>
        <w:tc>
          <w:tcPr>
            <w:tcW w:type="dxa" w:w="1704"/>
            <w:vAlign w:val="center"/>
            <w:shd w:fill="F3F7FB"/>
          </w:tcPr>
          <w:p>
            <w:pPr>
              <w:jc w:val="left"/>
            </w:pPr>
            <w:r/>
            <w:r>
              <w:rPr>
                <w:rFonts w:ascii="Arial" w:hAnsi="Arial"/>
                <w:b w:val="0"/>
                <w:color w:val="000000"/>
                <w:sz w:val="15"/>
              </w:rPr>
              <w:t>Verify uploaded dispatch documents before dispatch.</w:t>
            </w:r>
          </w:p>
        </w:tc>
        <w:tc>
          <w:tcPr>
            <w:tcW w:type="dxa" w:w="1704"/>
            <w:vAlign w:val="center"/>
            <w:shd w:fill="F3F7FB"/>
          </w:tcPr>
          <w:p>
            <w:pPr>
              <w:jc w:val="left"/>
            </w:pPr>
            <w:r/>
            <w:r>
              <w:rPr>
                <w:rFonts w:ascii="Arial" w:hAnsi="Arial"/>
                <w:b w:val="0"/>
                <w:color w:val="000000"/>
                <w:sz w:val="15"/>
              </w:rPr>
              <w:t>Dispatch team</w:t>
            </w:r>
          </w:p>
        </w:tc>
        <w:tc>
          <w:tcPr>
            <w:tcW w:type="dxa" w:w="1704"/>
            <w:vAlign w:val="center"/>
            <w:shd w:fill="F3F7FB"/>
          </w:tcPr>
          <w:p>
            <w:pPr>
              <w:jc w:val="center"/>
            </w:pPr>
            <w:r/>
            <w:r>
              <w:rPr>
                <w:rFonts w:ascii="Arial" w:hAnsi="Arial"/>
                <w:b w:val="0"/>
                <w:color w:val="000000"/>
                <w:sz w:val="15"/>
              </w:rPr>
              <w:t>Before release</w:t>
            </w:r>
          </w:p>
        </w:tc>
        <w:tc>
          <w:tcPr>
            <w:tcW w:type="dxa" w:w="1704"/>
            <w:vAlign w:val="center"/>
            <w:shd w:fill="F3F7FB"/>
          </w:tcPr>
          <w:p>
            <w:pPr>
              <w:jc w:val="left"/>
            </w:pPr>
            <w:r/>
            <w:r>
              <w:rPr>
                <w:rFonts w:ascii="Arial" w:hAnsi="Arial"/>
                <w:b w:val="0"/>
                <w:color w:val="000000"/>
                <w:sz w:val="15"/>
              </w:rPr>
              <w:t>Document checklist must be mandatory.</w:t>
            </w:r>
          </w:p>
        </w:tc>
      </w:tr>
      <w:tr>
        <w:tc>
          <w:tcPr>
            <w:tcW w:type="dxa" w:w="1704"/>
            <w:vAlign w:val="center"/>
          </w:tcPr>
          <w:p>
            <w:pPr>
              <w:jc w:val="center"/>
            </w:pPr>
            <w:r/>
            <w:r>
              <w:rPr>
                <w:rFonts w:ascii="Arial" w:hAnsi="Arial"/>
                <w:b w:val="0"/>
                <w:color w:val="000000"/>
                <w:sz w:val="15"/>
              </w:rPr>
              <w:t>13</w:t>
            </w:r>
          </w:p>
        </w:tc>
        <w:tc>
          <w:tcPr>
            <w:tcW w:type="dxa" w:w="1704"/>
            <w:vAlign w:val="center"/>
          </w:tcPr>
          <w:p>
            <w:pPr>
              <w:jc w:val="left"/>
            </w:pPr>
            <w:r/>
            <w:r>
              <w:rPr>
                <w:rFonts w:ascii="Arial" w:hAnsi="Arial"/>
                <w:b w:val="0"/>
                <w:color w:val="000000"/>
                <w:sz w:val="15"/>
              </w:rPr>
              <w:t>Acknowledgement</w:t>
            </w:r>
          </w:p>
        </w:tc>
        <w:tc>
          <w:tcPr>
            <w:tcW w:type="dxa" w:w="1704"/>
            <w:vAlign w:val="center"/>
          </w:tcPr>
          <w:p>
            <w:pPr>
              <w:jc w:val="left"/>
            </w:pPr>
            <w:r/>
            <w:r>
              <w:rPr>
                <w:rFonts w:ascii="Arial" w:hAnsi="Arial"/>
                <w:b w:val="0"/>
                <w:color w:val="000000"/>
                <w:sz w:val="15"/>
              </w:rPr>
              <w:t>Capture acknowledgement that goods were received.</w:t>
            </w:r>
          </w:p>
        </w:tc>
        <w:tc>
          <w:tcPr>
            <w:tcW w:type="dxa" w:w="1704"/>
            <w:vAlign w:val="center"/>
          </w:tcPr>
          <w:p>
            <w:pPr>
              <w:jc w:val="left"/>
            </w:pPr>
            <w:r/>
            <w:r>
              <w:rPr>
                <w:rFonts w:ascii="Arial" w:hAnsi="Arial"/>
                <w:b w:val="0"/>
                <w:color w:val="000000"/>
                <w:sz w:val="15"/>
              </w:rPr>
              <w:t>Customer or PMS user</w:t>
            </w:r>
          </w:p>
        </w:tc>
        <w:tc>
          <w:tcPr>
            <w:tcW w:type="dxa" w:w="1704"/>
            <w:vAlign w:val="center"/>
          </w:tcPr>
          <w:p>
            <w:pPr>
              <w:jc w:val="center"/>
            </w:pPr>
            <w:r/>
            <w:r>
              <w:rPr>
                <w:rFonts w:ascii="Arial" w:hAnsi="Arial"/>
                <w:b w:val="0"/>
                <w:color w:val="000000"/>
                <w:sz w:val="15"/>
              </w:rPr>
              <w:t>After delivery</w:t>
            </w:r>
          </w:p>
        </w:tc>
        <w:tc>
          <w:tcPr>
            <w:tcW w:type="dxa" w:w="1704"/>
            <w:vAlign w:val="center"/>
          </w:tcPr>
          <w:p>
            <w:pPr>
              <w:jc w:val="left"/>
            </w:pPr>
            <w:r/>
            <w:r>
              <w:rPr>
                <w:rFonts w:ascii="Arial" w:hAnsi="Arial"/>
                <w:b w:val="0"/>
                <w:color w:val="000000"/>
                <w:sz w:val="15"/>
              </w:rPr>
              <w:t>Add goods received acknowledgement upload or confirmation.</w:t>
            </w:r>
          </w:p>
        </w:tc>
      </w:tr>
    </w:tbl>
    <w:p>
      <w:pPr>
        <w:pStyle w:val="Heading1"/>
      </w:pPr>
      <w:r>
        <w:t>Review Points Before Development</w:t>
      </w:r>
    </w:p>
    <w:p>
      <w:pPr>
        <w:pStyle w:val="ListBullet"/>
        <w:spacing w:after="60"/>
      </w:pPr>
      <w:r>
        <w:rPr>
          <w:rFonts w:ascii="Arial" w:hAnsi="Arial"/>
          <w:sz w:val="21"/>
        </w:rPr>
        <w:t>Confirm meaning and responsible person for Order Own.</w:t>
      </w:r>
    </w:p>
    <w:p>
      <w:pPr>
        <w:pStyle w:val="ListBullet"/>
        <w:spacing w:after="60"/>
      </w:pPr>
      <w:r>
        <w:rPr>
          <w:rFonts w:ascii="Arial" w:hAnsi="Arial"/>
          <w:sz w:val="21"/>
        </w:rPr>
        <w:t>Confirm country wise document checklist fields for domestic and international dispatch.</w:t>
      </w:r>
    </w:p>
    <w:p>
      <w:pPr>
        <w:pStyle w:val="ListBullet"/>
        <w:spacing w:after="60"/>
      </w:pPr>
      <w:r>
        <w:rPr>
          <w:rFonts w:ascii="Arial" w:hAnsi="Arial"/>
          <w:sz w:val="21"/>
        </w:rPr>
        <w:t>Confirm whether MRP and shortage report are system generated, manually uploaded, or both.</w:t>
      </w:r>
    </w:p>
    <w:p>
      <w:pPr>
        <w:pStyle w:val="ListBullet"/>
        <w:spacing w:after="60"/>
      </w:pPr>
      <w:r>
        <w:rPr>
          <w:rFonts w:ascii="Arial" w:hAnsi="Arial"/>
          <w:sz w:val="21"/>
        </w:rPr>
        <w:t>Confirm if design TAT applies to all quotation types or only Custom Engg cases.</w:t>
      </w:r>
    </w:p>
    <w:p>
      <w:pPr>
        <w:pStyle w:val="ListBullet"/>
        <w:spacing w:after="60"/>
      </w:pPr>
      <w:r>
        <w:rPr>
          <w:rFonts w:ascii="Arial" w:hAnsi="Arial"/>
          <w:sz w:val="21"/>
        </w:rPr>
        <w:t>Confirm purchase PO groups and whether Sec 6 should be shown as a separate vendor or internal department.</w:t>
      </w:r>
    </w:p>
    <w:p>
      <w:pPr>
        <w:pStyle w:val="ListBullet"/>
        <w:spacing w:after="60"/>
      </w:pPr>
      <w:r>
        <w:rPr>
          <w:rFonts w:ascii="Arial" w:hAnsi="Arial"/>
          <w:sz w:val="21"/>
        </w:rPr>
        <w:t>Confirm acknowledgement format: checkbox, uploaded proof, received date, receiver name, or all of these.</w:t>
      </w:r>
    </w:p>
    <w:sectPr w:rsidR="00FC693F" w:rsidRPr="0006063C" w:rsidSect="00034616">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