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092"/>
      </w:tblGrid>
      <w:tr>
        <w:tc>
          <w:tcPr>
            <w:tcW w:type="dxa" w:w="6000"/>
            <w:tcBorders>
              <w:top w:val="none" w:color="FFFFFF" w:sz="0"/>
              <w:left w:val="none" w:color="FFFFFF" w:sz="0"/>
              <w:bottom w:val="none" w:color="FFFFFF" w:sz="0"/>
              <w:right w:val="none" w:color="FFFFFF" w:sz="0"/>
            </w:tcBorders>
            <w:tcMar>
              <w:top w:type="dxa" w:w="0"/>
              <w:left w:type="dxa" w:w="0"/>
              <w:bottom w:type="dxa" w:w="80"/>
              <w:right w:type="dxa" w:w="0"/>
            </w:tcMar>
            <w:vAlign w:val="center"/>
          </w:tcPr>
          <w:p>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 cy="247650"/>
                          </a:xfrm>
                          <a:prstGeom prst="rect">
                            <a:avLst/>
                          </a:prstGeom>
                        </pic:spPr>
                      </pic:pic>
                    </a:graphicData>
                  </a:graphic>
                </wp:inline>
              </w:drawing>
            </w:r>
            <w:r>
              <w:rPr>
                <w:rFonts w:ascii="Arial" w:cs="Arial" w:eastAsia="Arial" w:hAnsi="Arial"/>
                <w:b/>
                <w:bCs/>
                <w:color w:val="0E0E0E"/>
                <w:sz w:val="44"/>
                <w:szCs w:val="44"/>
              </w:rPr>
              <w:t xml:space="preserve">  Lynq</w:t>
            </w:r>
            <w:r>
              <w:rPr>
                <w:rFonts w:ascii="Arial" w:cs="Arial" w:eastAsia="Arial" w:hAnsi="Arial"/>
                <w:color w:val="D6D6DB"/>
                <w:sz w:val="28"/>
                <w:szCs w:val="28"/>
              </w:rPr>
              <w:t xml:space="preserve">   |   </w:t>
            </w:r>
            <w:r>
              <w:rPr>
                <w:rFonts w:ascii="Arial" w:cs="Arial" w:eastAsia="Arial" w:hAnsi="Arial"/>
                <w:b/>
                <w:bCs/>
                <w:color w:val="087F8E"/>
                <w:sz w:val="28"/>
                <w:szCs w:val="28"/>
              </w:rPr>
              <w:t xml:space="preserve">NTN-Pulse</w:t>
            </w:r>
          </w:p>
        </w:tc>
        <w:tc>
          <w:tcPr>
            <w:tcW w:type="dxa" w:w="4092"/>
            <w:tcBorders>
              <w:top w:val="none" w:color="FFFFFF" w:sz="0"/>
              <w:left w:val="none" w:color="FFFFFF" w:sz="0"/>
              <w:bottom w:val="none" w:color="FFFFFF" w:sz="0"/>
              <w:right w:val="none" w:color="FFFFFF" w:sz="0"/>
            </w:tcBorders>
            <w:tcMar>
              <w:top w:type="dxa" w:w="0"/>
              <w:left w:type="dxa" w:w="0"/>
              <w:bottom w:type="dxa" w:w="80"/>
              <w:right w:type="dxa" w:w="0"/>
            </w:tcMar>
            <w:vAlign w:val="center"/>
          </w:tcPr>
          <w:p>
            <w:pPr>
              <w:jc w:val="right"/>
            </w:pPr>
            <w:r>
              <w:rPr>
                <w:rFonts w:ascii="Consolas" w:cs="Consolas" w:eastAsia="Consolas" w:hAnsi="Consolas"/>
                <w:color w:val="353535"/>
                <w:sz w:val="14"/>
                <w:szCs w:val="14"/>
              </w:rPr>
              <w:t xml:space="preserve">TEAM PROPOSAL</w:t>
            </w:r>
          </w:p>
          <w:p>
            <w:pPr>
              <w:jc w:val="right"/>
            </w:pPr>
            <w:r>
              <w:rPr>
                <w:rFonts w:ascii="Consolas" w:cs="Consolas" w:eastAsia="Consolas" w:hAnsi="Consolas"/>
                <w:color w:val="353535"/>
                <w:sz w:val="14"/>
                <w:szCs w:val="14"/>
              </w:rPr>
              <w:t xml:space="preserve">NEOSPACE EUROPE 2026 · LUXEMBOURG</w:t>
            </w:r>
          </w:p>
        </w:tc>
      </w:tr>
    </w:tbl>
    <w:p>
      <w:pPr>
        <w:pBdr>
          <w:bottom w:val="single" w:color="D6D6DB" w:sz="6" w:space="1"/>
        </w:pBdr>
        <w:spacing w:after="160"/>
      </w:pPr>
    </w:p>
    <w:p>
      <w:pPr>
        <w:pStyle w:val="Title"/>
        <w:spacing w:after="20"/>
      </w:pPr>
      <w:r>
        <w:rPr>
          <w:rFonts w:ascii="Arial" w:cs="Arial" w:eastAsia="Arial" w:hAnsi="Arial"/>
          <w:b/>
          <w:bCs/>
          <w:color w:val="0E0E0E"/>
          <w:sz w:val="44"/>
          <w:szCs w:val="44"/>
        </w:rPr>
        <w:t xml:space="preserve">Lynq NTN-Pulse</w:t>
      </w:r>
    </w:p>
    <w:p>
      <w:pPr>
        <w:spacing w:after="140"/>
      </w:pPr>
      <w:r>
        <w:rPr>
          <w:rFonts w:ascii="Arial" w:cs="Arial" w:eastAsia="Arial" w:hAnsi="Arial"/>
          <w:color w:val="087F8E"/>
          <w:sz w:val="22"/>
          <w:szCs w:val="22"/>
        </w:rPr>
        <w:t xml:space="preserve">Every signal, the right path.</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8192"/>
      </w:tblGrid>
      <w:tr>
        <w:tc>
          <w:tcPr>
            <w:tcW w:type="dxa" w:w="1900"/>
            <w:tcBorders>
              <w:top w:val="none" w:color="FFFFFF" w:sz="0"/>
              <w:left w:val="none" w:color="FFFFFF" w:sz="0"/>
              <w:bottom w:val="none" w:color="FFFFFF" w:sz="0"/>
              <w:right w:val="none" w:color="FFFFFF" w:sz="0"/>
            </w:tcBorders>
            <w:tcMar>
              <w:top w:type="dxa" w:w="30"/>
              <w:left w:type="dxa" w:w="0"/>
              <w:bottom w:type="dxa" w:w="30"/>
              <w:right w:type="dxa" w:w="80"/>
            </w:tcMar>
          </w:tcPr>
          <w:p>
            <w:r>
              <w:rPr>
                <w:rFonts w:ascii="Consolas" w:cs="Consolas" w:eastAsia="Consolas" w:hAnsi="Consolas"/>
                <w:color w:val="6B6B73"/>
                <w:sz w:val="14"/>
                <w:szCs w:val="14"/>
              </w:rPr>
              <w:t xml:space="preserve">CHALLENGE</w:t>
            </w:r>
          </w:p>
        </w:tc>
        <w:tc>
          <w:tcPr>
            <w:tcW w:type="dxa" w:w="8192"/>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color w:val="0E0E0E"/>
                <w:sz w:val="18"/>
                <w:szCs w:val="18"/>
              </w:rPr>
              <w:t xml:space="preserve">OQ Technology — AnyPoint-NTN: Global gNB-Onboard LEO Constellation for Ubiquitous 5G NR-NTN</w:t>
            </w:r>
          </w:p>
        </w:tc>
      </w:tr>
      <w:tr>
        <w:tc>
          <w:tcPr>
            <w:tcW w:type="dxa" w:w="1900"/>
            <w:tcBorders>
              <w:top w:val="none" w:color="FFFFFF" w:sz="0"/>
              <w:left w:val="none" w:color="FFFFFF" w:sz="0"/>
              <w:bottom w:val="none" w:color="FFFFFF" w:sz="0"/>
              <w:right w:val="none" w:color="FFFFFF" w:sz="0"/>
            </w:tcBorders>
            <w:tcMar>
              <w:top w:type="dxa" w:w="30"/>
              <w:left w:type="dxa" w:w="0"/>
              <w:bottom w:type="dxa" w:w="30"/>
              <w:right w:type="dxa" w:w="80"/>
            </w:tcMar>
          </w:tcPr>
          <w:p>
            <w:r>
              <w:rPr>
                <w:rFonts w:ascii="Consolas" w:cs="Consolas" w:eastAsia="Consolas" w:hAnsi="Consolas"/>
                <w:color w:val="6B6B73"/>
                <w:sz w:val="14"/>
                <w:szCs w:val="14"/>
              </w:rPr>
              <w:t xml:space="preserve">CATEGORY</w:t>
            </w:r>
          </w:p>
        </w:tc>
        <w:tc>
          <w:tcPr>
            <w:tcW w:type="dxa" w:w="8192"/>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color w:val="0E0E0E"/>
                <w:sz w:val="18"/>
                <w:szCs w:val="18"/>
              </w:rPr>
              <w:t xml:space="preserve">Next-Gen Downstream</w:t>
            </w:r>
          </w:p>
        </w:tc>
      </w:tr>
      <w:tr>
        <w:tc>
          <w:tcPr>
            <w:tcW w:type="dxa" w:w="1900"/>
            <w:tcBorders>
              <w:top w:val="none" w:color="FFFFFF" w:sz="0"/>
              <w:left w:val="none" w:color="FFFFFF" w:sz="0"/>
              <w:bottom w:val="none" w:color="FFFFFF" w:sz="0"/>
              <w:right w:val="none" w:color="FFFFFF" w:sz="0"/>
            </w:tcBorders>
            <w:tcMar>
              <w:top w:type="dxa" w:w="30"/>
              <w:left w:type="dxa" w:w="0"/>
              <w:bottom w:type="dxa" w:w="30"/>
              <w:right w:type="dxa" w:w="80"/>
            </w:tcMar>
          </w:tcPr>
          <w:p>
            <w:r>
              <w:rPr>
                <w:rFonts w:ascii="Consolas" w:cs="Consolas" w:eastAsia="Consolas" w:hAnsi="Consolas"/>
                <w:color w:val="6B6B73"/>
                <w:sz w:val="14"/>
                <w:szCs w:val="14"/>
              </w:rPr>
              <w:t xml:space="preserve">TEAM</w:t>
            </w:r>
          </w:p>
        </w:tc>
        <w:tc>
          <w:tcPr>
            <w:tcW w:type="dxa" w:w="8192"/>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Arial" w:cs="Arial" w:eastAsia="Arial" w:hAnsi="Arial"/>
                <w:color w:val="0E0E0E"/>
                <w:sz w:val="18"/>
                <w:szCs w:val="18"/>
              </w:rPr>
              <w:t xml:space="preserve">Lynq — Davoud Jokar, Ines Bouissou, Gambhir Sharma, Maryam Amini</w:t>
            </w:r>
          </w:p>
        </w:tc>
      </w:tr>
    </w:tbl>
    <w:p>
      <w:pPr>
        <w:pBdr>
          <w:bottom w:val="single" w:color="D6D6DB" w:sz="6" w:space="1"/>
        </w:pBdr>
        <w:spacing w:after="60"/>
      </w:pPr>
    </w:p>
    <w:p>
      <w:pPr>
        <w:pStyle w:val="Heading1"/>
        <w:spacing w:after="100" w:before="220"/>
      </w:pPr>
      <w:r>
        <w:rPr>
          <w:rFonts w:ascii="Consolas" w:cs="Consolas" w:eastAsia="Consolas" w:hAnsi="Consolas"/>
          <w:color w:val="0B8A9A"/>
          <w:sz w:val="18"/>
          <w:szCs w:val="18"/>
        </w:rPr>
        <w:t xml:space="preserve">01   </w:t>
      </w:r>
      <w:r>
        <w:rPr>
          <w:rFonts w:ascii="Arial" w:cs="Arial" w:eastAsia="Arial" w:hAnsi="Arial"/>
          <w:b/>
          <w:bCs/>
          <w:color w:val="0E0E0E"/>
          <w:sz w:val="27"/>
          <w:szCs w:val="27"/>
        </w:rPr>
        <w:t xml:space="preserve">Executive Summary</w:t>
      </w:r>
    </w:p>
    <w:p>
      <w:pPr>
        <w:spacing w:after="100" w:line="250"/>
      </w:pPr>
      <w:r>
        <w:rPr>
          <w:rFonts w:ascii="Arial" w:cs="Arial" w:eastAsia="Arial" w:hAnsi="Arial"/>
          <w:color w:val="353535"/>
          <w:sz w:val="18"/>
          <w:szCs w:val="18"/>
        </w:rPr>
        <w:t xml:space="preserve">Lynq NTN-Pulse is a software-defined digital twin and policy engine for OQ Technology's regenerative gNB-onboard LEO constellation. It governs industrial traffic across onboard gNB, feeder/ISL paths, gateways, 5G Core and cloud applications. A 3GPP-aligned model applies policies for QoS, latency, availability, data residency, spectrum and cost.</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23"/>
        <w:gridCol w:w="2523"/>
        <w:gridCol w:w="2523"/>
        <w:gridCol w:w="2523"/>
      </w:tblGrid>
      <w:tr>
        <w:tc>
          <w:tcPr>
            <w:tcW w:type="dxa" w:w="10092"/>
            <w:gridSpan w:val="4"/>
            <w:tcBorders>
              <w:top w:val="none" w:color="FFFFFF" w:sz="0"/>
              <w:left w:val="single" w:color="0B8A9A" w:sz="18"/>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color w:val="087F8E"/>
                <w:sz w:val="14"/>
                <w:szCs w:val="14"/>
              </w:rPr>
              <w:t xml:space="preserve">DESIGN POINT</w:t>
            </w:r>
          </w:p>
        </w:tc>
      </w:tr>
      <w:tr>
        <w:tc>
          <w:tcPr>
            <w:tcW w:type="dxa" w:w="2523"/>
            <w:tcBorders>
              <w:top w:val="none" w:color="FFFFFF" w:sz="0"/>
              <w:left w:val="single" w:color="0B8A9A" w:sz="18"/>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color w:val="B45F12"/>
                <w:sz w:val="25"/>
                <w:szCs w:val="25"/>
              </w:rPr>
              <w:t xml:space="preserve">~90</w:t>
            </w:r>
          </w:p>
          <w:p>
            <w:r>
              <w:rPr>
                <w:rFonts w:ascii="Arial" w:cs="Arial" w:eastAsia="Arial" w:hAnsi="Arial"/>
                <w:color w:val="353535"/>
                <w:sz w:val="15"/>
                <w:szCs w:val="15"/>
              </w:rPr>
              <w:t xml:space="preserve">satellites in two 550–600 km shells</w:t>
            </w:r>
          </w:p>
        </w:tc>
        <w:tc>
          <w:tcPr>
            <w:tcW w:type="dxa" w:w="2523"/>
            <w:tcBorders>
              <w:top w:val="none" w:color="FFFFFF" w:sz="0"/>
              <w:left w:val="none" w:color="FFFFFF" w:sz="0"/>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color w:val="B45F12"/>
                <w:sz w:val="25"/>
                <w:szCs w:val="25"/>
              </w:rPr>
              <w:t xml:space="preserve">10°</w:t>
            </w:r>
          </w:p>
          <w:p>
            <w:r>
              <w:rPr>
                <w:rFonts w:ascii="Arial" w:cs="Arial" w:eastAsia="Arial" w:hAnsi="Arial"/>
                <w:color w:val="353535"/>
                <w:sz w:val="15"/>
                <w:szCs w:val="15"/>
              </w:rPr>
              <w:t xml:space="preserve">minimum elevation</w:t>
            </w:r>
          </w:p>
        </w:tc>
        <w:tc>
          <w:tcPr>
            <w:tcW w:type="dxa" w:w="2523"/>
            <w:tcBorders>
              <w:top w:val="none" w:color="FFFFFF" w:sz="0"/>
              <w:left w:val="none" w:color="FFFFFF" w:sz="0"/>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color w:val="B45F12"/>
                <w:sz w:val="25"/>
                <w:szCs w:val="25"/>
              </w:rPr>
              <w:t xml:space="preserve">100%</w:t>
            </w:r>
          </w:p>
          <w:p>
            <w:r>
              <w:rPr>
                <w:rFonts w:ascii="Arial" w:cs="Arial" w:eastAsia="Arial" w:hAnsi="Arial"/>
                <w:color w:val="353535"/>
                <w:sz w:val="15"/>
                <w:szCs w:val="15"/>
              </w:rPr>
              <w:t xml:space="preserve">full regenerative gNB on every satellite</w:t>
            </w:r>
          </w:p>
        </w:tc>
        <w:tc>
          <w:tcPr>
            <w:tcW w:type="dxa" w:w="2523"/>
            <w:tcBorders>
              <w:top w:val="none" w:color="FFFFFF" w:sz="0"/>
              <w:left w:val="none" w:color="FFFFFF" w:sz="0"/>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color w:val="B45F12"/>
                <w:sz w:val="25"/>
                <w:szCs w:val="25"/>
              </w:rPr>
              <w:t xml:space="preserve">RF+optical</w:t>
            </w:r>
          </w:p>
          <w:p>
            <w:r>
              <w:rPr>
                <w:rFonts w:ascii="Arial" w:cs="Arial" w:eastAsia="Arial" w:hAnsi="Arial"/>
                <w:color w:val="353535"/>
                <w:sz w:val="15"/>
                <w:szCs w:val="15"/>
              </w:rPr>
              <w:t xml:space="preserve">RF intra-plane ISL, optical cross-plane relay subset</w:t>
            </w:r>
          </w:p>
        </w:tc>
      </w:tr>
      <w:tr>
        <w:tc>
          <w:tcPr>
            <w:tcW w:type="dxa" w:w="2523"/>
            <w:tcBorders>
              <w:top w:val="single" w:color="D6D6DB" w:sz="4"/>
              <w:left w:val="single" w:color="0B8A9A" w:sz="18"/>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b/>
                <w:bCs/>
                <w:color w:val="0B8A9A"/>
                <w:sz w:val="18"/>
                <w:szCs w:val="18"/>
              </w:rPr>
              <w:t xml:space="preserve">━━  </w:t>
            </w:r>
            <w:r>
              <w:rPr>
                <w:rFonts w:ascii="Arial" w:cs="Arial" w:eastAsia="Arial" w:hAnsi="Arial"/>
                <w:b/>
                <w:bCs/>
                <w:color w:val="0E0E0E"/>
                <w:sz w:val="19"/>
                <w:szCs w:val="19"/>
              </w:rPr>
              <w:t xml:space="preserve">Continuous</w:t>
            </w:r>
          </w:p>
          <w:p>
            <w:r>
              <w:rPr>
                <w:rFonts w:ascii="Consolas" w:cs="Consolas" w:eastAsia="Consolas" w:hAnsi="Consolas"/>
                <w:color w:val="B45F12"/>
                <w:sz w:val="16"/>
                <w:szCs w:val="16"/>
              </w:rPr>
              <w:t xml:space="preserve">&lt;150 ms</w:t>
            </w:r>
          </w:p>
        </w:tc>
        <w:tc>
          <w:tcPr>
            <w:tcW w:type="dxa" w:w="2523"/>
            <w:tcBorders>
              <w:top w:val="single" w:color="D6D6DB" w:sz="4"/>
              <w:left w:val="none" w:color="FFFFFF" w:sz="0"/>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b/>
                <w:bCs/>
                <w:color w:val="9B8CFF"/>
                <w:sz w:val="18"/>
                <w:szCs w:val="18"/>
              </w:rPr>
              <w:t xml:space="preserve">●━●  </w:t>
            </w:r>
            <w:r>
              <w:rPr>
                <w:rFonts w:ascii="Arial" w:cs="Arial" w:eastAsia="Arial" w:hAnsi="Arial"/>
                <w:b/>
                <w:bCs/>
                <w:color w:val="0E0E0E"/>
                <w:sz w:val="19"/>
                <w:szCs w:val="19"/>
              </w:rPr>
              <w:t xml:space="preserve">Mesh-relayed</w:t>
            </w:r>
          </w:p>
          <w:p>
            <w:r>
              <w:rPr>
                <w:rFonts w:ascii="Consolas" w:cs="Consolas" w:eastAsia="Consolas" w:hAnsi="Consolas"/>
                <w:color w:val="B45F12"/>
                <w:sz w:val="16"/>
                <w:szCs w:val="16"/>
              </w:rPr>
              <w:t xml:space="preserve">&lt;250 ms</w:t>
            </w:r>
          </w:p>
        </w:tc>
        <w:tc>
          <w:tcPr>
            <w:tcW w:type="dxa" w:w="2523"/>
            <w:tcBorders>
              <w:top w:val="single" w:color="D6D6DB" w:sz="4"/>
              <w:left w:val="none" w:color="FFFFFF" w:sz="0"/>
              <w:bottom w:val="none" w:color="FFFFFF" w:sz="0"/>
              <w:right w:val="none" w:color="FFFFFF" w:sz="0"/>
            </w:tcBorders>
            <w:shd w:fill="F2F2F4" w:color="auto" w:val="clear"/>
            <w:tcMar>
              <w:top w:type="dxa" w:w="60"/>
              <w:left w:type="dxa" w:w="160"/>
              <w:bottom w:type="dxa" w:w="60"/>
              <w:right w:type="dxa" w:w="120"/>
            </w:tcMar>
          </w:tcPr>
          <w:p>
            <w:r>
              <w:rPr>
                <w:rFonts w:ascii="Consolas" w:cs="Consolas" w:eastAsia="Consolas" w:hAnsi="Consolas"/>
                <w:b/>
                <w:bCs/>
                <w:color w:val="8A97A0"/>
                <w:sz w:val="18"/>
                <w:szCs w:val="18"/>
              </w:rPr>
              <w:t xml:space="preserve">···  </w:t>
            </w:r>
            <w:r>
              <w:rPr>
                <w:rFonts w:ascii="Arial" w:cs="Arial" w:eastAsia="Arial" w:hAnsi="Arial"/>
                <w:b/>
                <w:bCs/>
                <w:color w:val="0E0E0E"/>
                <w:sz w:val="19"/>
                <w:szCs w:val="19"/>
              </w:rPr>
              <w:t xml:space="preserve">Store-and-forward</w:t>
            </w:r>
          </w:p>
          <w:p>
            <w:r>
              <w:rPr>
                <w:rFonts w:ascii="Consolas" w:cs="Consolas" w:eastAsia="Consolas" w:hAnsi="Consolas"/>
                <w:color w:val="B45F12"/>
                <w:sz w:val="16"/>
                <w:szCs w:val="16"/>
              </w:rPr>
              <w:t xml:space="preserve">≤90 min</w:t>
            </w:r>
          </w:p>
        </w:tc>
        <w:tc>
          <w:tcPr>
            <w:tcW w:type="dxa" w:w="2523"/>
            <w:tcBorders>
              <w:top w:val="single" w:color="D6D6DB" w:sz="4"/>
              <w:left w:val="none" w:color="FFFFFF" w:sz="0"/>
              <w:bottom w:val="none" w:color="FFFFFF" w:sz="0"/>
              <w:right w:val="none" w:color="FFFFFF" w:sz="0"/>
            </w:tcBorders>
            <w:shd w:fill="F2F2F4" w:color="auto" w:val="clear"/>
            <w:tcMar>
              <w:top w:type="dxa" w:w="60"/>
              <w:left w:type="dxa" w:w="160"/>
              <w:bottom w:type="dxa" w:w="60"/>
              <w:right w:type="dxa" w:w="120"/>
            </w:tcMar>
          </w:tcPr>
          <w:p/>
        </w:tc>
      </w:tr>
    </w:tbl>
    <w:p>
      <w:pPr>
        <w:spacing w:after="80"/>
      </w:pPr>
    </w:p>
    <w:p>
      <w:pPr>
        <w:spacing w:after="100" w:line="250"/>
      </w:pPr>
      <w:r>
        <w:rPr>
          <w:rFonts w:ascii="Arial" w:cs="Arial" w:eastAsia="Arial" w:hAnsi="Arial"/>
          <w:color w:val="353535"/>
          <w:sz w:val="18"/>
          <w:szCs w:val="18"/>
        </w:rPr>
        <w:t xml:space="preserve">The first beachhead is offshore energy and maritime operations. Lynq adds the software layer that makes regenerative NTN capacity measurable and deployable.</w:t>
      </w:r>
    </w:p>
    <w:p>
      <w:pPr>
        <w:pStyle w:val="Heading1"/>
        <w:spacing w:after="100" w:before="220"/>
      </w:pPr>
      <w:r>
        <w:rPr>
          <w:rFonts w:ascii="Consolas" w:cs="Consolas" w:eastAsia="Consolas" w:hAnsi="Consolas"/>
          <w:color w:val="0B8A9A"/>
          <w:sz w:val="18"/>
          <w:szCs w:val="18"/>
        </w:rPr>
        <w:t xml:space="preserve">02   </w:t>
      </w:r>
      <w:r>
        <w:rPr>
          <w:rFonts w:ascii="Arial" w:cs="Arial" w:eastAsia="Arial" w:hAnsi="Arial"/>
          <w:b/>
          <w:bCs/>
          <w:color w:val="0E0E0E"/>
          <w:sz w:val="27"/>
          <w:szCs w:val="27"/>
        </w:rPr>
        <w:t xml:space="preserve">Problem &amp; Opportunity</w:t>
      </w:r>
    </w:p>
    <w:p>
      <w:pPr>
        <w:spacing w:after="100" w:line="250"/>
      </w:pPr>
      <w:r>
        <w:rPr>
          <w:rFonts w:ascii="Arial" w:cs="Arial" w:eastAsia="Arial" w:hAnsi="Arial"/>
          <w:b/>
          <w:bCs/>
          <w:color w:val="0E0E0E"/>
          <w:sz w:val="18"/>
          <w:szCs w:val="18"/>
        </w:rPr>
        <w:t xml:space="preserve">Status quo: the bent-pipe limit. </w:t>
      </w:r>
      <w:r>
        <w:rPr>
          <w:rFonts w:ascii="Arial" w:cs="Arial" w:eastAsia="Arial" w:hAnsi="Arial"/>
          <w:color w:val="353535"/>
          <w:sz w:val="18"/>
          <w:szCs w:val="18"/>
        </w:rPr>
        <w:t xml:space="preserve">Traditional transparent payloads relay radio signals but require a visible ground gateway and feeder link for network processing, routing and terrestrial-core access. If the gateway is outside the footprint, geographically blocked, nationally restricted or overloaded, service degrades through delay, inefficient routing or loss of connectivity.</w:t>
      </w:r>
    </w:p>
    <w:p>
      <w:pPr>
        <w:spacing w:after="100" w:line="250"/>
      </w:pPr>
      <w:r>
        <w:rPr>
          <w:rFonts w:ascii="Arial" w:cs="Arial" w:eastAsia="Arial" w:hAnsi="Arial"/>
          <w:color w:val="353535"/>
          <w:sz w:val="18"/>
          <w:szCs w:val="18"/>
        </w:rPr>
        <w:t xml:space="preserve">This affects offshore wind farms, energy platforms, vessels and pipelines. Their traffic needs different treatment: alarms and control commands require priority, while telemetry, video and bulk files can tolerate delay.</w:t>
      </w:r>
    </w:p>
    <w:p>
      <w:pPr>
        <w:spacing w:after="100" w:line="250"/>
      </w:pPr>
      <w:r>
        <w:rPr>
          <w:rFonts w:ascii="Arial" w:cs="Arial" w:eastAsia="Arial" w:hAnsi="Arial"/>
          <w:color w:val="353535"/>
          <w:sz w:val="18"/>
          <w:szCs w:val="18"/>
        </w:rPr>
        <w:t xml:space="preserve">A regenerative gNB moves selected RAN and Layer 2/3 functions into orbit, but introduces Doppler and delay, handovers, intermittent feeder access, gateway selection, ISL routing and onboard compute limits. Lynq provides the policy layer that decides whether traffic is delivered immediately, routed, edge-processed or stored for later downlink.</w:t>
      </w:r>
    </w:p>
    <w:p>
      <w:pPr>
        <w:pStyle w:val="Heading1"/>
        <w:spacing w:after="100" w:before="220"/>
      </w:pPr>
      <w:r>
        <w:rPr>
          <w:rFonts w:ascii="Consolas" w:cs="Consolas" w:eastAsia="Consolas" w:hAnsi="Consolas"/>
          <w:color w:val="0B8A9A"/>
          <w:sz w:val="18"/>
          <w:szCs w:val="18"/>
        </w:rPr>
        <w:t xml:space="preserve">03   </w:t>
      </w:r>
      <w:r>
        <w:rPr>
          <w:rFonts w:ascii="Arial" w:cs="Arial" w:eastAsia="Arial" w:hAnsi="Arial"/>
          <w:b/>
          <w:bCs/>
          <w:color w:val="0E0E0E"/>
          <w:sz w:val="27"/>
          <w:szCs w:val="27"/>
        </w:rPr>
        <w:t xml:space="preserve">Proposed Direction</w:t>
      </w:r>
    </w:p>
    <w:p>
      <w:pPr>
        <w:pStyle w:val="Heading2"/>
        <w:spacing w:after="60" w:before="140"/>
      </w:pPr>
      <w:r>
        <w:rPr>
          <w:rFonts w:ascii="Arial" w:cs="Arial" w:eastAsia="Arial" w:hAnsi="Arial"/>
          <w:b/>
          <w:bCs/>
          <w:color w:val="0E0E0E"/>
          <w:sz w:val="22"/>
          <w:szCs w:val="22"/>
        </w:rPr>
        <w:t xml:space="preserve">Technical angle</w:t>
      </w:r>
    </w:p>
    <w:p>
      <w:pPr>
        <w:spacing w:after="40"/>
      </w:pPr>
      <w:r>
        <w:rPr>
          <w:rFonts w:ascii="Arial" w:cs="Arial" w:eastAsia="Arial" w:hAnsi="Arial"/>
          <w:color w:val="353535"/>
          <w:sz w:val="18"/>
          <w:szCs w:val="18"/>
        </w:rPr>
        <w:t xml:space="preserve">Lynq combines:</w:t>
      </w:r>
    </w:p>
    <w:p>
      <w:pPr>
        <w:pStyle w:val="ListParagraph"/>
        <w:numPr>
          <w:ilvl w:val="0"/>
          <w:numId w:val="2"/>
        </w:numPr>
        <w:spacing w:after="40" w:line="250"/>
      </w:pPr>
      <w:r>
        <w:rPr>
          <w:rFonts w:ascii="Arial" w:cs="Arial" w:eastAsia="Arial" w:hAnsi="Arial"/>
          <w:b/>
          <w:bCs/>
          <w:color w:val="0E0E0E"/>
          <w:sz w:val="18"/>
          <w:szCs w:val="18"/>
        </w:rPr>
        <w:t xml:space="preserve">Digital twin: </w:t>
      </w:r>
      <w:r>
        <w:rPr>
          <w:rFonts w:ascii="Arial" w:cs="Arial" w:eastAsia="Arial" w:hAnsi="Arial"/>
          <w:color w:val="353535"/>
          <w:sz w:val="18"/>
          <w:szCs w:val="18"/>
        </w:rPr>
        <w:t xml:space="preserve">models satellite position, coverage, gateway visibility, feeder/ISL state, terminal location, traffic demand and onboard compute.</w:t>
      </w:r>
    </w:p>
    <w:p>
      <w:pPr>
        <w:pStyle w:val="ListParagraph"/>
        <w:numPr>
          <w:ilvl w:val="0"/>
          <w:numId w:val="2"/>
        </w:numPr>
        <w:spacing w:after="40" w:line="250"/>
      </w:pPr>
      <w:r>
        <w:rPr>
          <w:rFonts w:ascii="Arial" w:cs="Arial" w:eastAsia="Arial" w:hAnsi="Arial"/>
          <w:b/>
          <w:bCs/>
          <w:color w:val="0E0E0E"/>
          <w:sz w:val="18"/>
          <w:szCs w:val="18"/>
        </w:rPr>
        <w:t xml:space="preserve">Policy engine: </w:t>
      </w:r>
      <w:r>
        <w:rPr>
          <w:rFonts w:ascii="Arial" w:cs="Arial" w:eastAsia="Arial" w:hAnsi="Arial"/>
          <w:color w:val="353535"/>
          <w:sz w:val="18"/>
          <w:szCs w:val="18"/>
        </w:rPr>
        <w:t xml:space="preserve">assigns traffic classes to available paths using QoS, latency, reliability, residency and cost.</w:t>
      </w:r>
    </w:p>
    <w:p>
      <w:pPr>
        <w:pStyle w:val="ListParagraph"/>
        <w:numPr>
          <w:ilvl w:val="0"/>
          <w:numId w:val="2"/>
        </w:numPr>
        <w:spacing w:after="40" w:line="250"/>
      </w:pPr>
      <w:r>
        <w:rPr>
          <w:rFonts w:ascii="Arial" w:cs="Arial" w:eastAsia="Arial" w:hAnsi="Arial"/>
          <w:b/>
          <w:bCs/>
          <w:color w:val="0E0E0E"/>
          <w:sz w:val="18"/>
          <w:szCs w:val="18"/>
        </w:rPr>
        <w:t xml:space="preserve">NTN model and dashboard: </w:t>
      </w:r>
      <w:r>
        <w:rPr>
          <w:rFonts w:ascii="Arial" w:cs="Arial" w:eastAsia="Arial" w:hAnsi="Arial"/>
          <w:color w:val="353535"/>
          <w:sz w:val="18"/>
          <w:szCs w:val="18"/>
        </w:rPr>
        <w:t xml:space="preserve">covers timing, beam management, handover, link budgets, scheduling, queues, predicted outages and route decisions.</w:t>
      </w:r>
    </w:p>
    <w:p>
      <w:pPr>
        <w:spacing w:after="40" w:before="80"/>
        <w:jc w:val="center"/>
      </w:pPr>
      <w:r>
        <w:drawing>
          <wp:inline distT="0" distB="0" distL="0" distR="0">
            <wp:extent cx="6096000" cy="1343025"/>
            <wp:effectExtent t="0" r="0" b="0" l="0"/>
            <wp:docPr id="1" name="diagram" descr="Terminal to onboard gNB, RF and optical ISL, authorised gateway, 5GC and cloud; blocked gateway greyed out" title="Data pat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343025"/>
                    </a:xfrm>
                    <a:prstGeom prst="rect">
                      <a:avLst/>
                    </a:prstGeom>
                  </pic:spPr>
                </pic:pic>
              </a:graphicData>
            </a:graphic>
          </wp:inline>
        </w:drawing>
      </w:r>
    </w:p>
    <w:p>
      <w:pPr>
        <w:spacing w:after="100" w:line="250"/>
      </w:pPr>
      <w:r>
        <w:rPr>
          <w:rFonts w:ascii="Arial" w:cs="Arial" w:eastAsia="Arial" w:hAnsi="Arial"/>
          <w:color w:val="6B6B73"/>
          <w:sz w:val="15"/>
          <w:szCs w:val="15"/>
        </w:rPr>
        <w:t xml:space="preserve">Data path: industrial terminal → regenerative onboard gNB → policy engine → ISL/feeder → authorised gateway and 5G Core → enterprise application. Teal = policy-compliant path; grey = blocked gateway.</w:t>
      </w:r>
    </w:p>
    <w:p>
      <w:pPr>
        <w:spacing w:after="100" w:line="250"/>
      </w:pPr>
      <w:r>
        <w:rPr>
          <w:rFonts w:ascii="Arial" w:cs="Arial" w:eastAsia="Arial" w:hAnsi="Arial"/>
          <w:b/>
          <w:bCs/>
          <w:color w:val="0E0E0E"/>
          <w:sz w:val="18"/>
          <w:szCs w:val="18"/>
        </w:rPr>
        <w:t xml:space="preserve">Constellation (sized with the twin). </w:t>
      </w:r>
      <w:r>
        <w:rPr>
          <w:rFonts w:ascii="Consolas" w:cs="Consolas" w:eastAsia="Consolas" w:hAnsi="Consolas"/>
          <w:color w:val="B45F12"/>
          <w:sz w:val="18"/>
          <w:szCs w:val="18"/>
        </w:rPr>
        <w:t xml:space="preserve">~70</w:t>
      </w:r>
      <w:r>
        <w:rPr>
          <w:rFonts w:ascii="Arial" w:cs="Arial" w:eastAsia="Arial" w:hAnsi="Arial"/>
          <w:color w:val="353535"/>
          <w:sz w:val="18"/>
          <w:szCs w:val="18"/>
        </w:rPr>
        <w:t xml:space="preserve"> satellites in a Walker Delta service shell (~60–65°) over inhabited latitudes and shipping lanes, plus </w:t>
      </w:r>
      <w:r>
        <w:rPr>
          <w:rFonts w:ascii="Consolas" w:cs="Consolas" w:eastAsia="Consolas" w:hAnsi="Consolas"/>
          <w:color w:val="B45F12"/>
          <w:sz w:val="18"/>
          <w:szCs w:val="18"/>
        </w:rPr>
        <w:t xml:space="preserve">~20</w:t>
      </w:r>
      <w:r>
        <w:rPr>
          <w:rFonts w:ascii="Arial" w:cs="Arial" w:eastAsia="Arial" w:hAnsi="Arial"/>
          <w:color w:val="353535"/>
          <w:sz w:val="18"/>
          <w:szCs w:val="18"/>
        </w:rPr>
        <w:t xml:space="preserve"> near-polar satellites for high latitudes. A 10° rather than 30° minimum elevation cuts the count about </w:t>
      </w:r>
      <w:r>
        <w:rPr>
          <w:rFonts w:ascii="Consolas" w:cs="Consolas" w:eastAsia="Consolas" w:hAnsi="Consolas"/>
          <w:color w:val="B45F12"/>
          <w:sz w:val="18"/>
          <w:szCs w:val="18"/>
        </w:rPr>
        <w:t xml:space="preserve">4×</w:t>
      </w:r>
      <w:r>
        <w:rPr>
          <w:rFonts w:ascii="Arial" w:cs="Arial" w:eastAsia="Arial" w:hAnsi="Arial"/>
          <w:color w:val="353535"/>
          <w:sz w:val="18"/>
          <w:szCs w:val="18"/>
        </w:rPr>
        <w:t xml:space="preserve"> and narrowband links still close; at a 5-year life, </w:t>
      </w:r>
      <w:r>
        <w:rPr>
          <w:rFonts w:ascii="Consolas" w:cs="Consolas" w:eastAsia="Consolas" w:hAnsi="Consolas"/>
          <w:color w:val="B45F12"/>
          <w:sz w:val="18"/>
          <w:szCs w:val="18"/>
        </w:rPr>
        <w:t xml:space="preserve">~18</w:t>
      </w:r>
      <w:r>
        <w:rPr>
          <w:rFonts w:ascii="Arial" w:cs="Arial" w:eastAsia="Arial" w:hAnsi="Arial"/>
          <w:color w:val="353535"/>
          <w:sz w:val="18"/>
          <w:szCs w:val="18"/>
        </w:rPr>
        <w:t xml:space="preserve"> replacements per year.</w:t>
      </w:r>
    </w:p>
    <w:p>
      <w:pPr>
        <w:spacing w:after="100" w:line="250"/>
      </w:pPr>
      <w:r>
        <w:rPr>
          <w:rFonts w:ascii="Arial" w:cs="Arial" w:eastAsia="Arial" w:hAnsi="Arial"/>
          <w:b/>
          <w:bCs/>
          <w:color w:val="0E0E0E"/>
          <w:sz w:val="18"/>
          <w:szCs w:val="18"/>
        </w:rPr>
        <w:t xml:space="preserve">Payload trade. </w:t>
      </w:r>
      <w:r>
        <w:rPr>
          <w:rFonts w:ascii="Arial" w:cs="Arial" w:eastAsia="Arial" w:hAnsi="Arial"/>
          <w:color w:val="353535"/>
          <w:sz w:val="18"/>
          <w:szCs w:val="18"/>
        </w:rPr>
        <w:t xml:space="preserve">Full regenerative gNB: bent-pipe cannot serve users with no gateway in view, and split gNB (options 2/7.2x) keeps most RF/PHY power onboard while RRC still round-trips over the feeder. Power, thermal and radiation costs are mitigated by a narrowband gNB, duty-cycling over empty ocean and COTS processing under a rad-hard supervisor.</w:t>
      </w:r>
    </w:p>
    <w:p>
      <w:pPr>
        <w:spacing w:after="100" w:line="250"/>
      </w:pPr>
      <w:r>
        <w:rPr>
          <w:rFonts w:ascii="Arial" w:cs="Arial" w:eastAsia="Arial" w:hAnsi="Arial"/>
          <w:color w:val="353535"/>
          <w:sz w:val="18"/>
          <w:szCs w:val="18"/>
        </w:rPr>
        <w:t xml:space="preserve">Example: mid-Atlantic platform → Frankfurt cloud in </w:t>
      </w:r>
      <w:r>
        <w:rPr>
          <w:rFonts w:ascii="Consolas" w:cs="Consolas" w:eastAsia="Consolas" w:hAnsi="Consolas"/>
          <w:color w:val="B45F12"/>
          <w:sz w:val="18"/>
          <w:szCs w:val="18"/>
        </w:rPr>
        <w:t xml:space="preserve">~75–110 ms</w:t>
      </w:r>
      <w:r>
        <w:rPr>
          <w:rFonts w:ascii="Arial" w:cs="Arial" w:eastAsia="Arial" w:hAnsi="Arial"/>
          <w:color w:val="353535"/>
          <w:sz w:val="18"/>
          <w:szCs w:val="18"/>
        </w:rPr>
        <w:t xml:space="preserve"> one-way over ISL, versus no service on bent-pipe. The design uses 3GPP Rel-17 as the NTN baseline, incorporates Rel-18 enhancements and keeps a Rel-19-ready roadmap.</w:t>
      </w:r>
    </w:p>
    <w:p>
      <w:pPr>
        <w:spacing w:after="100" w:line="250"/>
      </w:pPr>
      <w:r>
        <w:rPr>
          <w:rFonts w:ascii="Arial" w:cs="Arial" w:eastAsia="Arial" w:hAnsi="Arial"/>
          <w:color w:val="353535"/>
          <w:sz w:val="18"/>
          <w:szCs w:val="18"/>
        </w:rPr>
        <w:t xml:space="preserve">It evaluates ISL topology (optical/laser vs. RF Ka/V/W-band): optical links offer high capacity and low RF interference but require precise acquisition, pointing and tracking; RF links provide different acquisition and availability characteristics but add spectrum, antenna and interference constraints. Narrowband traffic needs only single-digit Mbps per satellite, so </w:t>
      </w:r>
      <w:r>
        <w:rPr>
          <w:rFonts w:ascii="Arial" w:cs="Arial" w:eastAsia="Arial" w:hAnsi="Arial"/>
          <w:b/>
          <w:bCs/>
          <w:color w:val="0E0E0E"/>
          <w:sz w:val="18"/>
          <w:szCs w:val="18"/>
        </w:rPr>
        <w:t xml:space="preserve">we choose RF intra-plane ISL on all satellites</w:t>
      </w:r>
      <w:r>
        <w:rPr>
          <w:rFonts w:ascii="Arial" w:cs="Arial" w:eastAsia="Arial" w:hAnsi="Arial"/>
          <w:color w:val="353535"/>
          <w:sz w:val="18"/>
          <w:szCs w:val="18"/>
        </w:rPr>
        <w:t xml:space="preserve"> (near-static geometry, proven by Iridium) </w:t>
      </w:r>
      <w:r>
        <w:rPr>
          <w:rFonts w:ascii="Arial" w:cs="Arial" w:eastAsia="Arial" w:hAnsi="Arial"/>
          <w:b/>
          <w:bCs/>
          <w:color w:val="0E0E0E"/>
          <w:sz w:val="18"/>
          <w:szCs w:val="18"/>
        </w:rPr>
        <w:t xml:space="preserve">and optical cross-plane on ~20 relay satellites</w:t>
      </w:r>
      <w:r>
        <w:rPr>
          <w:rFonts w:ascii="Arial" w:cs="Arial" w:eastAsia="Arial" w:hAnsi="Arial"/>
          <w:color w:val="353535"/>
          <w:sz w:val="18"/>
          <w:szCs w:val="18"/>
        </w:rPr>
        <w:t xml:space="preserve"> (no spectrum licence, hard to intercept), from European suppliers to avoid ITAR/EAR.</w:t>
      </w:r>
    </w:p>
    <w:p>
      <w:pPr>
        <w:spacing w:after="100" w:line="250"/>
      </w:pPr>
      <w:r>
        <w:rPr>
          <w:rFonts w:ascii="Arial" w:cs="Arial" w:eastAsia="Arial" w:hAnsi="Arial"/>
          <w:color w:val="353535"/>
          <w:sz w:val="18"/>
          <w:szCs w:val="18"/>
        </w:rPr>
        <w:t xml:space="preserve">The system implements advanced Doppler/delay pre-compensation from moving platforms using applicable 3GPP Rel-17/18/19 procedures. AI supports traffic forecasting, anomaly detection and resource prioritisation; deterministic timing, link-budget and safety controls remain authoritative.</w:t>
      </w:r>
    </w:p>
    <w:p>
      <w:pPr>
        <w:pStyle w:val="Heading2"/>
        <w:spacing w:after="60" w:before="140"/>
      </w:pPr>
      <w:r>
        <w:rPr>
          <w:rFonts w:ascii="Arial" w:cs="Arial" w:eastAsia="Arial" w:hAnsi="Arial"/>
          <w:b/>
          <w:bCs/>
          <w:color w:val="0E0E0E"/>
          <w:sz w:val="22"/>
          <w:szCs w:val="22"/>
        </w:rPr>
        <w:t xml:space="preserve">Regulatory angle</w:t>
      </w:r>
    </w:p>
    <w:p>
      <w:pPr>
        <w:spacing w:after="100" w:line="250"/>
      </w:pPr>
      <w:r>
        <w:rPr>
          <w:rFonts w:ascii="Arial" w:cs="Arial" w:eastAsia="Arial" w:hAnsi="Arial"/>
          <w:color w:val="353535"/>
          <w:sz w:val="18"/>
          <w:szCs w:val="18"/>
        </w:rPr>
        <w:t xml:space="preserve">The Consultant's Dilemma is that a local ground gateway may be technically attractive but unavailable because of national restrictions, data-residency rules or licensing. A regenerative gNB knows the user's identity, PLMN and verified location, so Lynq applies routing policy onboard and sends each flow through an authorised ISL/feeder path only to a policy-compliant gateway with local user-plane breakout. Under MNO partnerships, the MNO keeps lawful intercept on its own core.</w:t>
      </w:r>
    </w:p>
    <w:p>
      <w:pPr>
        <w:spacing w:after="100" w:line="250"/>
      </w:pPr>
      <w:r>
        <w:rPr>
          <w:rFonts w:ascii="Arial" w:cs="Arial" w:eastAsia="Arial" w:hAnsi="Arial"/>
          <w:color w:val="353535"/>
          <w:sz w:val="18"/>
          <w:szCs w:val="18"/>
        </w:rPr>
        <w:t xml:space="preserve">The compliance layer treats ITU Radio Regulations Article 9 coordination and Article 22 EPFD limits as hard design constraints (feeder-link masks, gateway exclusion zones), together with applicable PFD/EIRP conditions and national authorisations. It supports EU-hosted processing, encryption, key ownership, data minimisation, pseudonymisation and controlled GDPR retention. </w:t>
      </w:r>
      <w:r>
        <w:rPr>
          <w:rFonts w:ascii="Arial" w:cs="Arial" w:eastAsia="Arial" w:hAnsi="Arial"/>
          <w:b/>
          <w:bCs/>
          <w:color w:val="0E0E0E"/>
          <w:sz w:val="18"/>
          <w:szCs w:val="18"/>
        </w:rPr>
        <w:t xml:space="preserve">Sovereignty is built into routing.</w:t>
      </w:r>
    </w:p>
    <w:p>
      <w:pPr>
        <w:spacing w:after="40"/>
      </w:pPr>
      <w:r>
        <w:rPr>
          <w:rFonts w:ascii="Arial" w:cs="Arial" w:eastAsia="Arial" w:hAnsi="Arial"/>
          <w:b/>
          <w:bCs/>
          <w:color w:val="0E0E0E"/>
          <w:sz w:val="18"/>
          <w:szCs w:val="18"/>
        </w:rPr>
        <w:t xml:space="preserve">Engagement sequence</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18"/>
        <w:gridCol w:w="2018"/>
        <w:gridCol w:w="2018"/>
        <w:gridCol w:w="2018"/>
        <w:gridCol w:w="2020"/>
      </w:tblGrid>
      <w:tr>
        <w:tc>
          <w:tcPr>
            <w:tcW w:type="dxa" w:w="2018"/>
            <w:tcBorders>
              <w:top w:val="single" w:color="FFFFFF" w:sz="24"/>
              <w:left w:val="single" w:color="FFFFFF" w:sz="24"/>
              <w:bottom w:val="single" w:color="FFFFFF" w:sz="24"/>
              <w:right w:val="single" w:color="FFFFFF" w:sz="24"/>
            </w:tcBorders>
            <w:shd w:fill="F2F2F4" w:color="auto" w:val="clear"/>
            <w:tcMar>
              <w:top w:type="dxa" w:w="80"/>
              <w:left w:type="dxa" w:w="100"/>
              <w:bottom w:type="dxa" w:w="80"/>
              <w:right w:type="dxa" w:w="100"/>
            </w:tcMar>
          </w:tcPr>
          <w:p>
            <w:r>
              <w:rPr>
                <w:rFonts w:ascii="Consolas" w:cs="Consolas" w:eastAsia="Consolas" w:hAnsi="Consolas"/>
                <w:color w:val="087F8E"/>
                <w:sz w:val="16"/>
                <w:szCs w:val="16"/>
              </w:rPr>
              <w:t xml:space="preserve">01</w:t>
            </w:r>
          </w:p>
          <w:p>
            <w:r>
              <w:rPr>
                <w:rFonts w:ascii="Arial" w:cs="Arial" w:eastAsia="Arial" w:hAnsi="Arial"/>
                <w:b/>
                <w:bCs/>
                <w:color w:val="0E0E0E"/>
                <w:sz w:val="16"/>
                <w:szCs w:val="16"/>
              </w:rPr>
              <w:t xml:space="preserve">Luxembourg ILR/LSA</w:t>
            </w:r>
          </w:p>
          <w:p>
            <w:r>
              <w:rPr>
                <w:rFonts w:ascii="Arial" w:cs="Arial" w:eastAsia="Arial" w:hAnsi="Arial"/>
                <w:color w:val="353535"/>
                <w:sz w:val="16"/>
                <w:szCs w:val="16"/>
              </w:rPr>
              <w:t xml:space="preserve">Extend OQ's Nov-2025 concession to ISL and regenerative operation</w:t>
            </w:r>
          </w:p>
        </w:tc>
        <w:tc>
          <w:tcPr>
            <w:tcW w:type="dxa" w:w="2018"/>
            <w:tcBorders>
              <w:top w:val="single" w:color="FFFFFF" w:sz="24"/>
              <w:left w:val="single" w:color="FFFFFF" w:sz="24"/>
              <w:bottom w:val="single" w:color="FFFFFF" w:sz="24"/>
              <w:right w:val="single" w:color="FFFFFF" w:sz="24"/>
            </w:tcBorders>
            <w:shd w:fill="F2F2F4" w:color="auto" w:val="clear"/>
            <w:tcMar>
              <w:top w:type="dxa" w:w="80"/>
              <w:left w:type="dxa" w:w="100"/>
              <w:bottom w:type="dxa" w:w="80"/>
              <w:right w:type="dxa" w:w="100"/>
            </w:tcMar>
          </w:tcPr>
          <w:p>
            <w:r>
              <w:rPr>
                <w:rFonts w:ascii="Consolas" w:cs="Consolas" w:eastAsia="Consolas" w:hAnsi="Consolas"/>
                <w:color w:val="087F8E"/>
                <w:sz w:val="16"/>
                <w:szCs w:val="16"/>
              </w:rPr>
              <w:t xml:space="preserve">02</w:t>
            </w:r>
          </w:p>
          <w:p>
            <w:r>
              <w:rPr>
                <w:rFonts w:ascii="Arial" w:cs="Arial" w:eastAsia="Arial" w:hAnsi="Arial"/>
                <w:b/>
                <w:bCs/>
                <w:color w:val="0E0E0E"/>
                <w:sz w:val="16"/>
                <w:szCs w:val="16"/>
              </w:rPr>
              <w:t xml:space="preserve">ITU BR via Luxembourg</w:t>
            </w:r>
          </w:p>
          <w:p>
            <w:r>
              <w:rPr>
                <w:rFonts w:ascii="Arial" w:cs="Arial" w:eastAsia="Arial" w:hAnsi="Arial"/>
                <w:color w:val="353535"/>
                <w:sz w:val="16"/>
                <w:szCs w:val="16"/>
              </w:rPr>
              <w:t xml:space="preserve">Priority filings</w:t>
            </w:r>
          </w:p>
        </w:tc>
        <w:tc>
          <w:tcPr>
            <w:tcW w:type="dxa" w:w="2018"/>
            <w:tcBorders>
              <w:top w:val="single" w:color="FFFFFF" w:sz="24"/>
              <w:left w:val="single" w:color="FFFFFF" w:sz="24"/>
              <w:bottom w:val="single" w:color="FFFFFF" w:sz="24"/>
              <w:right w:val="single" w:color="FFFFFF" w:sz="24"/>
            </w:tcBorders>
            <w:shd w:fill="F2F2F4" w:color="auto" w:val="clear"/>
            <w:tcMar>
              <w:top w:type="dxa" w:w="80"/>
              <w:left w:type="dxa" w:w="100"/>
              <w:bottom w:type="dxa" w:w="80"/>
              <w:right w:type="dxa" w:w="100"/>
            </w:tcMar>
          </w:tcPr>
          <w:p>
            <w:r>
              <w:rPr>
                <w:rFonts w:ascii="Consolas" w:cs="Consolas" w:eastAsia="Consolas" w:hAnsi="Consolas"/>
                <w:color w:val="087F8E"/>
                <w:sz w:val="16"/>
                <w:szCs w:val="16"/>
              </w:rPr>
              <w:t xml:space="preserve">03</w:t>
            </w:r>
          </w:p>
          <w:p>
            <w:r>
              <w:rPr>
                <w:rFonts w:ascii="Arial" w:cs="Arial" w:eastAsia="Arial" w:hAnsi="Arial"/>
                <w:b/>
                <w:bCs/>
                <w:color w:val="0E0E0E"/>
                <w:sz w:val="16"/>
                <w:szCs w:val="16"/>
              </w:rPr>
              <w:t xml:space="preserve">International waters</w:t>
            </w:r>
          </w:p>
          <w:p>
            <w:r>
              <w:rPr>
                <w:rFonts w:ascii="Arial" w:cs="Arial" w:eastAsia="Arial" w:hAnsi="Arial"/>
                <w:color w:val="353535"/>
                <w:sz w:val="16"/>
                <w:szCs w:val="16"/>
              </w:rPr>
              <w:t xml:space="preserve">No landing rights needed</w:t>
            </w:r>
          </w:p>
        </w:tc>
        <w:tc>
          <w:tcPr>
            <w:tcW w:type="dxa" w:w="2018"/>
            <w:tcBorders>
              <w:top w:val="single" w:color="FFFFFF" w:sz="24"/>
              <w:left w:val="single" w:color="FFFFFF" w:sz="24"/>
              <w:bottom w:val="single" w:color="FFFFFF" w:sz="24"/>
              <w:right w:val="single" w:color="FFFFFF" w:sz="24"/>
            </w:tcBorders>
            <w:shd w:fill="F2F2F4" w:color="auto" w:val="clear"/>
            <w:tcMar>
              <w:top w:type="dxa" w:w="80"/>
              <w:left w:type="dxa" w:w="100"/>
              <w:bottom w:type="dxa" w:w="80"/>
              <w:right w:type="dxa" w:w="100"/>
            </w:tcMar>
          </w:tcPr>
          <w:p>
            <w:r>
              <w:rPr>
                <w:rFonts w:ascii="Consolas" w:cs="Consolas" w:eastAsia="Consolas" w:hAnsi="Consolas"/>
                <w:color w:val="087F8E"/>
                <w:sz w:val="16"/>
                <w:szCs w:val="16"/>
              </w:rPr>
              <w:t xml:space="preserve">04</w:t>
            </w:r>
          </w:p>
          <w:p>
            <w:r>
              <w:rPr>
                <w:rFonts w:ascii="Arial" w:cs="Arial" w:eastAsia="Arial" w:hAnsi="Arial"/>
                <w:b/>
                <w:bCs/>
                <w:color w:val="0E0E0E"/>
                <w:sz w:val="16"/>
                <w:szCs w:val="16"/>
              </w:rPr>
              <w:t xml:space="preserve">North Sea regulators &amp; MNOs</w:t>
            </w:r>
          </w:p>
          <w:p>
            <w:r>
              <w:rPr>
                <w:rFonts w:ascii="Arial" w:cs="Arial" w:eastAsia="Arial" w:hAnsi="Arial"/>
                <w:color w:val="353535"/>
                <w:sz w:val="16"/>
                <w:szCs w:val="16"/>
              </w:rPr>
              <w:t xml:space="preserve">Coastal coverage</w:t>
            </w:r>
          </w:p>
        </w:tc>
        <w:tc>
          <w:tcPr>
            <w:tcW w:type="dxa" w:w="2020"/>
            <w:tcBorders>
              <w:top w:val="single" w:color="FFFFFF" w:sz="24"/>
              <w:left w:val="single" w:color="FFFFFF" w:sz="24"/>
              <w:bottom w:val="single" w:color="FFFFFF" w:sz="24"/>
              <w:right w:val="single" w:color="FFFFFF" w:sz="24"/>
            </w:tcBorders>
            <w:shd w:fill="F2F2F4" w:color="auto" w:val="clear"/>
            <w:tcMar>
              <w:top w:type="dxa" w:w="80"/>
              <w:left w:type="dxa" w:w="100"/>
              <w:bottom w:type="dxa" w:w="80"/>
              <w:right w:type="dxa" w:w="100"/>
            </w:tcMar>
          </w:tcPr>
          <w:p>
            <w:r>
              <w:rPr>
                <w:rFonts w:ascii="Consolas" w:cs="Consolas" w:eastAsia="Consolas" w:hAnsi="Consolas"/>
                <w:color w:val="087F8E"/>
                <w:sz w:val="16"/>
                <w:szCs w:val="16"/>
              </w:rPr>
              <w:t xml:space="preserve">05</w:t>
            </w:r>
          </w:p>
          <w:p>
            <w:r>
              <w:rPr>
                <w:rFonts w:ascii="Arial" w:cs="Arial" w:eastAsia="Arial" w:hAnsi="Arial"/>
                <w:b/>
                <w:bCs/>
                <w:color w:val="0E0E0E"/>
                <w:sz w:val="16"/>
                <w:szCs w:val="16"/>
              </w:rPr>
              <w:t xml:space="preserve">EC/CEPT</w:t>
            </w:r>
          </w:p>
          <w:p>
            <w:r>
              <w:rPr>
                <w:rFonts w:ascii="Arial" w:cs="Arial" w:eastAsia="Arial" w:hAnsi="Arial"/>
                <w:color w:val="353535"/>
                <w:sz w:val="16"/>
                <w:szCs w:val="16"/>
              </w:rPr>
              <w:t xml:space="preserve">EU 2 GHz MSS, off the critical path</w:t>
            </w:r>
          </w:p>
        </w:tc>
      </w:tr>
    </w:tbl>
    <w:p>
      <w:pPr>
        <w:pStyle w:val="Heading2"/>
        <w:spacing w:after="60" w:before="140"/>
      </w:pPr>
      <w:r>
        <w:rPr>
          <w:rFonts w:ascii="Arial" w:cs="Arial" w:eastAsia="Arial" w:hAnsi="Arial"/>
          <w:b/>
          <w:bCs/>
          <w:color w:val="0E0E0E"/>
          <w:sz w:val="22"/>
          <w:szCs w:val="22"/>
        </w:rPr>
        <w:t xml:space="preserve">Business angle</w:t>
      </w:r>
    </w:p>
    <w:p>
      <w:pPr>
        <w:spacing w:after="100" w:line="250"/>
      </w:pPr>
      <w:r>
        <w:rPr>
          <w:rFonts w:ascii="Arial" w:cs="Arial" w:eastAsia="Arial" w:hAnsi="Arial"/>
          <w:color w:val="353535"/>
          <w:sz w:val="18"/>
          <w:szCs w:val="18"/>
        </w:rPr>
        <w:t xml:space="preserve">The first buyer is an offshore energy operator or offshore wind O&amp;M provider. Lynq reduces blind spots, improves high-priority alarm delivery and lowers dependence on dedicated VSAT and fixed gateways.</w:t>
      </w:r>
    </w:p>
    <w:p>
      <w:pPr>
        <w:spacing w:after="100" w:line="250"/>
      </w:pPr>
      <w:r>
        <w:rPr>
          <w:rFonts w:ascii="Arial" w:cs="Arial" w:eastAsia="Arial" w:hAnsi="Arial"/>
          <w:color w:val="353535"/>
          <w:sz w:val="18"/>
          <w:szCs w:val="18"/>
        </w:rPr>
        <w:t xml:space="preserve">Revenue combines integration fees, monthly subscriptions by assets and traffic class, usage charges for data/priority QoS, and MNO wholesale or roaming. Mature opex including replenishment is </w:t>
      </w:r>
      <w:r>
        <w:rPr>
          <w:rFonts w:ascii="Consolas" w:cs="Consolas" w:eastAsia="Consolas" w:hAnsi="Consolas"/>
          <w:color w:val="B45F12"/>
          <w:sz w:val="18"/>
          <w:szCs w:val="18"/>
        </w:rPr>
        <w:t xml:space="preserve">~€26.5M/yr</w:t>
      </w:r>
      <w:r>
        <w:rPr>
          <w:rFonts w:ascii="Arial" w:cs="Arial" w:eastAsia="Arial" w:hAnsi="Arial"/>
          <w:color w:val="353535"/>
          <w:sz w:val="18"/>
          <w:szCs w:val="18"/>
        </w:rPr>
        <w:t xml:space="preserve">: break-even at </w:t>
      </w:r>
      <w:r>
        <w:rPr>
          <w:rFonts w:ascii="Consolas" w:cs="Consolas" w:eastAsia="Consolas" w:hAnsi="Consolas"/>
          <w:color w:val="B45F12"/>
          <w:sz w:val="18"/>
          <w:szCs w:val="18"/>
        </w:rPr>
        <w:t xml:space="preserve">~220k</w:t>
      </w:r>
      <w:r>
        <w:rPr>
          <w:rFonts w:ascii="Arial" w:cs="Arial" w:eastAsia="Arial" w:hAnsi="Arial"/>
          <w:color w:val="353535"/>
          <w:sz w:val="18"/>
          <w:szCs w:val="18"/>
        </w:rPr>
        <w:t xml:space="preserve"> offshore assets at </w:t>
      </w:r>
      <w:r>
        <w:rPr>
          <w:rFonts w:ascii="Consolas" w:cs="Consolas" w:eastAsia="Consolas" w:hAnsi="Consolas"/>
          <w:color w:val="B45F12"/>
          <w:sz w:val="18"/>
          <w:szCs w:val="18"/>
        </w:rPr>
        <w:t xml:space="preserve">€120/yr</w:t>
      </w:r>
      <w:r>
        <w:rPr>
          <w:rFonts w:ascii="Arial" w:cs="Arial" w:eastAsia="Arial" w:hAnsi="Arial"/>
          <w:color w:val="353535"/>
          <w:sz w:val="18"/>
          <w:szCs w:val="18"/>
        </w:rPr>
        <w:t xml:space="preserve">, or </w:t>
      </w:r>
      <w:r>
        <w:rPr>
          <w:rFonts w:ascii="Consolas" w:cs="Consolas" w:eastAsia="Consolas" w:hAnsi="Consolas"/>
          <w:color w:val="B45F12"/>
          <w:sz w:val="18"/>
          <w:szCs w:val="18"/>
        </w:rPr>
        <w:t xml:space="preserve">~26k</w:t>
      </w:r>
      <w:r>
        <w:rPr>
          <w:rFonts w:ascii="Arial" w:cs="Arial" w:eastAsia="Arial" w:hAnsi="Arial"/>
          <w:color w:val="353535"/>
          <w:sz w:val="18"/>
          <w:szCs w:val="18"/>
        </w:rPr>
        <w:t xml:space="preserve"> sovereign/defence endpoints at </w:t>
      </w:r>
      <w:r>
        <w:rPr>
          <w:rFonts w:ascii="Consolas" w:cs="Consolas" w:eastAsia="Consolas" w:hAnsi="Consolas"/>
          <w:color w:val="B45F12"/>
          <w:sz w:val="18"/>
          <w:szCs w:val="18"/>
        </w:rPr>
        <w:t xml:space="preserve">€1,000+/yr</w:t>
      </w:r>
      <w:r>
        <w:rPr>
          <w:rFonts w:ascii="Arial" w:cs="Arial" w:eastAsia="Arial" w:hAnsi="Arial"/>
          <w:color w:val="353535"/>
          <w:sz w:val="18"/>
          <w:szCs w:val="18"/>
        </w:rPr>
        <w:t xml:space="preserve">. At ~€1/MB we price per asset, never per byte. The business case compares TCO with VSAT, private LTE and manual inspection baselines, benchmarked against Sateliot, Skylo, Starlink D2C/Lynk and Iridium. Consumer D2D is not a first target. Expansion markets include maritime logistics, UAV/drone telemetry and defence reconnaissance.</w:t>
      </w:r>
    </w:p>
    <w:p>
      <w:pPr>
        <w:pStyle w:val="Heading1"/>
        <w:spacing w:after="100" w:before="220"/>
      </w:pPr>
      <w:r>
        <w:rPr>
          <w:rFonts w:ascii="Consolas" w:cs="Consolas" w:eastAsia="Consolas" w:hAnsi="Consolas"/>
          <w:color w:val="0B8A9A"/>
          <w:sz w:val="18"/>
          <w:szCs w:val="18"/>
        </w:rPr>
        <w:t xml:space="preserve">04   </w:t>
      </w:r>
      <w:r>
        <w:rPr>
          <w:rFonts w:ascii="Arial" w:cs="Arial" w:eastAsia="Arial" w:hAnsi="Arial"/>
          <w:b/>
          <w:bCs/>
          <w:color w:val="0E0E0E"/>
          <w:sz w:val="27"/>
          <w:szCs w:val="27"/>
        </w:rPr>
        <w:t xml:space="preserve">Key Assumptions &amp; Risks</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00"/>
        <w:gridCol w:w="3300"/>
        <w:gridCol w:w="5192"/>
      </w:tblGrid>
      <w:tr>
        <w:trPr>
          <w:tblHeader/>
        </w:trPr>
        <w:tc>
          <w:tcPr>
            <w:tcW w:type="dxa" w:w="1600"/>
            <w:tcBorders>
              <w:top w:val="none" w:color="FFFFFF" w:sz="0"/>
              <w:left w:val="none" w:color="FFFFFF" w:sz="0"/>
              <w:bottom w:val="single" w:color="0E0E0E" w:sz="8"/>
              <w:right w:val="none" w:color="FFFFFF" w:sz="0"/>
            </w:tcBorders>
            <w:tcMar>
              <w:top w:type="dxa" w:w="40"/>
              <w:left w:type="dxa" w:w="0"/>
              <w:bottom w:type="dxa" w:w="60"/>
              <w:right w:type="dxa" w:w="80"/>
            </w:tcMar>
          </w:tcPr>
          <w:p>
            <w:r>
              <w:rPr>
                <w:rFonts w:ascii="Consolas" w:cs="Consolas" w:eastAsia="Consolas" w:hAnsi="Consolas"/>
                <w:color w:val="6B6B73"/>
                <w:sz w:val="14"/>
                <w:szCs w:val="14"/>
              </w:rPr>
              <w:t xml:space="preserve">RISK</w:t>
            </w:r>
          </w:p>
        </w:tc>
        <w:tc>
          <w:tcPr>
            <w:tcW w:type="dxa" w:w="3300"/>
            <w:tcBorders>
              <w:top w:val="none" w:color="FFFFFF" w:sz="0"/>
              <w:left w:val="none" w:color="FFFFFF" w:sz="0"/>
              <w:bottom w:val="single" w:color="0E0E0E" w:sz="8"/>
              <w:right w:val="none" w:color="FFFFFF" w:sz="0"/>
            </w:tcBorders>
            <w:tcMar>
              <w:top w:type="dxa" w:w="40"/>
              <w:left w:type="dxa" w:w="80"/>
              <w:bottom w:type="dxa" w:w="60"/>
              <w:right w:type="dxa" w:w="80"/>
            </w:tcMar>
          </w:tcPr>
          <w:p>
            <w:r>
              <w:rPr>
                <w:rFonts w:ascii="Consolas" w:cs="Consolas" w:eastAsia="Consolas" w:hAnsi="Consolas"/>
                <w:color w:val="6B6B73"/>
                <w:sz w:val="14"/>
                <w:szCs w:val="14"/>
              </w:rPr>
              <w:t xml:space="preserve">ASSUMPTION</w:t>
            </w:r>
          </w:p>
        </w:tc>
        <w:tc>
          <w:tcPr>
            <w:tcW w:type="dxa" w:w="5192"/>
            <w:tcBorders>
              <w:top w:val="none" w:color="FFFFFF" w:sz="0"/>
              <w:left w:val="none" w:color="FFFFFF" w:sz="0"/>
              <w:bottom w:val="single" w:color="0E0E0E" w:sz="8"/>
              <w:right w:val="none" w:color="FFFFFF" w:sz="0"/>
            </w:tcBorders>
            <w:tcMar>
              <w:top w:type="dxa" w:w="40"/>
              <w:left w:type="dxa" w:w="80"/>
              <w:bottom w:type="dxa" w:w="60"/>
              <w:right w:type="dxa" w:w="80"/>
            </w:tcMar>
          </w:tcPr>
          <w:p>
            <w:r>
              <w:rPr>
                <w:rFonts w:ascii="Consolas" w:cs="Consolas" w:eastAsia="Consolas" w:hAnsi="Consolas"/>
                <w:color w:val="6B6B73"/>
                <w:sz w:val="14"/>
                <w:szCs w:val="14"/>
              </w:rPr>
              <w:t xml:space="preserve">MITIGATION</w:t>
            </w:r>
          </w:p>
        </w:tc>
      </w:tr>
      <w:tr>
        <w:tc>
          <w:tcPr>
            <w:tcW w:type="dxa" w:w="1600"/>
            <w:tcBorders>
              <w:top w:val="none" w:color="FFFFFF" w:sz="0"/>
              <w:left w:val="none" w:color="FFFFFF" w:sz="0"/>
              <w:bottom w:val="single" w:color="D6D6DB" w:sz="4"/>
              <w:right w:val="none" w:color="FFFFFF" w:sz="0"/>
            </w:tcBorders>
            <w:tcMar>
              <w:top w:type="dxa" w:w="60"/>
              <w:left w:type="dxa" w:w="0"/>
              <w:bottom w:type="dxa" w:w="60"/>
              <w:right w:type="dxa" w:w="80"/>
            </w:tcMar>
          </w:tcPr>
          <w:p>
            <w:r>
              <w:rPr>
                <w:rFonts w:ascii="Arial" w:cs="Arial" w:eastAsia="Arial" w:hAnsi="Arial"/>
                <w:b/>
                <w:bCs/>
                <w:color w:val="0E0E0E"/>
                <w:sz w:val="19"/>
                <w:szCs w:val="19"/>
              </w:rPr>
              <w:t xml:space="preserve">Payload</w:t>
            </w:r>
          </w:p>
        </w:tc>
        <w:tc>
          <w:tcPr>
            <w:tcW w:type="dxa" w:w="3300"/>
            <w:tcBorders>
              <w:top w:val="none" w:color="FFFFFF" w:sz="0"/>
              <w:left w:val="none" w:color="FFFFFF" w:sz="0"/>
              <w:bottom w:val="single" w:color="D6D6DB" w:sz="4"/>
              <w:right w:val="none" w:color="FFFFFF" w:sz="0"/>
            </w:tcBorders>
            <w:tcMar>
              <w:top w:type="dxa" w:w="60"/>
              <w:left w:type="dxa" w:w="80"/>
              <w:bottom w:type="dxa" w:w="60"/>
              <w:right w:type="dxa" w:w="80"/>
            </w:tcMar>
          </w:tcPr>
          <w:p>
            <w:r>
              <w:rPr>
                <w:rFonts w:ascii="Arial" w:cs="Arial" w:eastAsia="Arial" w:hAnsi="Arial"/>
                <w:color w:val="353535"/>
                <w:sz w:val="17"/>
                <w:szCs w:val="17"/>
              </w:rPr>
              <w:t xml:space="preserve">Final power, compute, radiation and RAN-interface limits may differ.</w:t>
            </w:r>
          </w:p>
        </w:tc>
        <w:tc>
          <w:tcPr>
            <w:tcW w:type="dxa" w:w="5192"/>
            <w:tcBorders>
              <w:top w:val="none" w:color="FFFFFF" w:sz="0"/>
              <w:left w:val="none" w:color="FFFFFF" w:sz="0"/>
              <w:bottom w:val="single" w:color="D6D6DB" w:sz="4"/>
              <w:right w:val="none" w:color="FFFFFF" w:sz="0"/>
            </w:tcBorders>
            <w:tcMar>
              <w:top w:type="dxa" w:w="60"/>
              <w:left w:type="dxa" w:w="80"/>
              <w:bottom w:type="dxa" w:w="60"/>
              <w:right w:type="dxa" w:w="0"/>
            </w:tcMar>
          </w:tcPr>
          <w:p>
            <w:r>
              <w:rPr>
                <w:rFonts w:ascii="Arial" w:cs="Arial" w:eastAsia="Arial" w:hAnsi="Arial"/>
                <w:color w:val="353535"/>
                <w:sz w:val="17"/>
                <w:szCs w:val="17"/>
              </w:rPr>
              <w:t xml:space="preserve">Use modular, payload-independent policies with cloud/gateway fallback; validate an OQ interface checklist.</w:t>
            </w:r>
          </w:p>
        </w:tc>
      </w:tr>
      <w:tr>
        <w:tc>
          <w:tcPr>
            <w:tcW w:type="dxa" w:w="1600"/>
            <w:tcBorders>
              <w:top w:val="none" w:color="FFFFFF" w:sz="0"/>
              <w:left w:val="none" w:color="FFFFFF" w:sz="0"/>
              <w:bottom w:val="single" w:color="D6D6DB" w:sz="4"/>
              <w:right w:val="none" w:color="FFFFFF" w:sz="0"/>
            </w:tcBorders>
            <w:tcMar>
              <w:top w:type="dxa" w:w="60"/>
              <w:left w:type="dxa" w:w="0"/>
              <w:bottom w:type="dxa" w:w="60"/>
              <w:right w:type="dxa" w:w="80"/>
            </w:tcMar>
          </w:tcPr>
          <w:p>
            <w:r>
              <w:rPr>
                <w:rFonts w:ascii="Arial" w:cs="Arial" w:eastAsia="Arial" w:hAnsi="Arial"/>
                <w:b/>
                <w:bCs/>
                <w:color w:val="0E0E0E"/>
                <w:sz w:val="19"/>
                <w:szCs w:val="19"/>
              </w:rPr>
              <w:t xml:space="preserve">ISL / regulatory</w:t>
            </w:r>
          </w:p>
        </w:tc>
        <w:tc>
          <w:tcPr>
            <w:tcW w:type="dxa" w:w="3300"/>
            <w:tcBorders>
              <w:top w:val="none" w:color="FFFFFF" w:sz="0"/>
              <w:left w:val="none" w:color="FFFFFF" w:sz="0"/>
              <w:bottom w:val="single" w:color="D6D6DB" w:sz="4"/>
              <w:right w:val="none" w:color="FFFFFF" w:sz="0"/>
            </w:tcBorders>
            <w:tcMar>
              <w:top w:type="dxa" w:w="60"/>
              <w:left w:type="dxa" w:w="80"/>
              <w:bottom w:type="dxa" w:w="60"/>
              <w:right w:type="dxa" w:w="80"/>
            </w:tcMar>
          </w:tcPr>
          <w:p>
            <w:r>
              <w:rPr>
                <w:rFonts w:ascii="Arial" w:cs="Arial" w:eastAsia="Arial" w:hAnsi="Arial"/>
                <w:color w:val="353535"/>
                <w:sz w:val="17"/>
                <w:szCs w:val="17"/>
              </w:rPr>
              <w:t xml:space="preserve">Final ISL, gateway and spectrum choices may change.</w:t>
            </w:r>
          </w:p>
        </w:tc>
        <w:tc>
          <w:tcPr>
            <w:tcW w:type="dxa" w:w="5192"/>
            <w:tcBorders>
              <w:top w:val="none" w:color="FFFFFF" w:sz="0"/>
              <w:left w:val="none" w:color="FFFFFF" w:sz="0"/>
              <w:bottom w:val="single" w:color="D6D6DB" w:sz="4"/>
              <w:right w:val="none" w:color="FFFFFF" w:sz="0"/>
            </w:tcBorders>
            <w:tcMar>
              <w:top w:type="dxa" w:w="60"/>
              <w:left w:type="dxa" w:w="80"/>
              <w:bottom w:type="dxa" w:w="60"/>
              <w:right w:type="dxa" w:w="0"/>
            </w:tcMar>
          </w:tcPr>
          <w:p>
            <w:r>
              <w:rPr>
                <w:rFonts w:ascii="Arial" w:cs="Arial" w:eastAsia="Arial" w:hAnsi="Arial"/>
                <w:color w:val="353535"/>
                <w:sz w:val="17"/>
                <w:szCs w:val="17"/>
              </w:rPr>
              <w:t xml:space="preserve">Simulate optical/RF ISLs, limited gateway visibility and store-and-forward; apply ITU and national rules as hard constraints.</w:t>
            </w:r>
          </w:p>
        </w:tc>
      </w:tr>
      <w:tr>
        <w:tc>
          <w:tcPr>
            <w:tcW w:type="dxa" w:w="1600"/>
            <w:tcBorders>
              <w:top w:val="none" w:color="FFFFFF" w:sz="0"/>
              <w:left w:val="none" w:color="FFFFFF" w:sz="0"/>
              <w:bottom w:val="single" w:color="D6D6DB" w:sz="4"/>
              <w:right w:val="none" w:color="FFFFFF" w:sz="0"/>
            </w:tcBorders>
            <w:tcMar>
              <w:top w:type="dxa" w:w="60"/>
              <w:left w:type="dxa" w:w="0"/>
              <w:bottom w:type="dxa" w:w="60"/>
              <w:right w:type="dxa" w:w="80"/>
            </w:tcMar>
          </w:tcPr>
          <w:p>
            <w:r>
              <w:rPr>
                <w:rFonts w:ascii="Arial" w:cs="Arial" w:eastAsia="Arial" w:hAnsi="Arial"/>
                <w:b/>
                <w:bCs/>
                <w:color w:val="0E0E0E"/>
                <w:sz w:val="19"/>
                <w:szCs w:val="19"/>
              </w:rPr>
              <w:t xml:space="preserve">Adoption</w:t>
            </w:r>
          </w:p>
        </w:tc>
        <w:tc>
          <w:tcPr>
            <w:tcW w:type="dxa" w:w="3300"/>
            <w:tcBorders>
              <w:top w:val="none" w:color="FFFFFF" w:sz="0"/>
              <w:left w:val="none" w:color="FFFFFF" w:sz="0"/>
              <w:bottom w:val="single" w:color="D6D6DB" w:sz="4"/>
              <w:right w:val="none" w:color="FFFFFF" w:sz="0"/>
            </w:tcBorders>
            <w:tcMar>
              <w:top w:type="dxa" w:w="60"/>
              <w:left w:type="dxa" w:w="80"/>
              <w:bottom w:type="dxa" w:w="60"/>
              <w:right w:type="dxa" w:w="80"/>
            </w:tcMar>
          </w:tcPr>
          <w:p>
            <w:r>
              <w:rPr>
                <w:rFonts w:ascii="Arial" w:cs="Arial" w:eastAsia="Arial" w:hAnsi="Arial"/>
                <w:color w:val="353535"/>
                <w:sz w:val="17"/>
                <w:szCs w:val="17"/>
              </w:rPr>
              <w:t xml:space="preserve">Customers may resist terminals, MNO integration or uncertain SLAs.</w:t>
            </w:r>
          </w:p>
        </w:tc>
        <w:tc>
          <w:tcPr>
            <w:tcW w:type="dxa" w:w="5192"/>
            <w:tcBorders>
              <w:top w:val="none" w:color="FFFFFF" w:sz="0"/>
              <w:left w:val="none" w:color="FFFFFF" w:sz="0"/>
              <w:bottom w:val="single" w:color="D6D6DB" w:sz="4"/>
              <w:right w:val="none" w:color="FFFFFF" w:sz="0"/>
            </w:tcBorders>
            <w:tcMar>
              <w:top w:type="dxa" w:w="60"/>
              <w:left w:type="dxa" w:w="80"/>
              <w:bottom w:type="dxa" w:w="60"/>
              <w:right w:type="dxa" w:w="0"/>
            </w:tcMar>
          </w:tcPr>
          <w:p>
            <w:r>
              <w:rPr>
                <w:rFonts w:ascii="Arial" w:cs="Arial" w:eastAsia="Arial" w:hAnsi="Arial"/>
                <w:color w:val="353535"/>
                <w:sz w:val="17"/>
                <w:szCs w:val="17"/>
              </w:rPr>
              <w:t xml:space="preserve">Start with one wind-turbine alarm use case, measure customer TCO and define a paid pilot with latency, availability and delivery targets.</w:t>
            </w:r>
          </w:p>
        </w:tc>
      </w:tr>
    </w:tbl>
    <w:p>
      <w:pPr>
        <w:pStyle w:val="Heading1"/>
        <w:spacing w:after="100" w:before="220"/>
      </w:pPr>
      <w:r>
        <w:rPr>
          <w:rFonts w:ascii="Consolas" w:cs="Consolas" w:eastAsia="Consolas" w:hAnsi="Consolas"/>
          <w:color w:val="0B8A9A"/>
          <w:sz w:val="18"/>
          <w:szCs w:val="18"/>
        </w:rPr>
        <w:t xml:space="preserve">05   </w:t>
      </w:r>
      <w:r>
        <w:rPr>
          <w:rFonts w:ascii="Arial" w:cs="Arial" w:eastAsia="Arial" w:hAnsi="Arial"/>
          <w:b/>
          <w:bCs/>
          <w:color w:val="0E0E0E"/>
          <w:sz w:val="27"/>
          <w:szCs w:val="27"/>
        </w:rPr>
        <w:t xml:space="preserve">Next Steps</w:t>
      </w:r>
    </w:p>
    <w:p>
      <w:pPr>
        <w:spacing w:after="100" w:line="250"/>
      </w:pPr>
      <w:r>
        <w:rPr>
          <w:rFonts w:ascii="Arial" w:cs="Arial" w:eastAsia="Arial" w:hAnsi="Arial"/>
          <w:color w:val="353535"/>
          <w:sz w:val="18"/>
          <w:szCs w:val="18"/>
        </w:rPr>
        <w:t xml:space="preserve">For Phase 2 in Luxembourg, Lynq will simulate one offshore or maritime corridor and compare bent-pipe and regenerative architectures under changing visibility, gateway access, traffic load and ISL conditions. The demonstration will show priority handling, Doppler/delay compensation, dynamic ISL/feeder/store-and-forward selection, QoS, latency, delivery probability, queue depth, TCO and routing compliance.</w:t>
      </w: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3"/>
        <w:gridCol w:w="240"/>
        <w:gridCol w:w="2343"/>
        <w:gridCol w:w="240"/>
        <w:gridCol w:w="2343"/>
        <w:gridCol w:w="240"/>
        <w:gridCol w:w="2343"/>
      </w:tblGrid>
      <w:tr>
        <w:tc>
          <w:tcPr>
            <w:tcW w:type="dxa" w:w="2343"/>
            <w:tcBorders>
              <w:top w:val="single" w:color="0B8A9A" w:sz="18"/>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0E0E0E"/>
                <w:sz w:val="20"/>
                <w:szCs w:val="20"/>
              </w:rPr>
              <w:t xml:space="preserve">Davoud Jokar</w:t>
            </w:r>
          </w:p>
          <w:p>
            <w:r>
              <w:rPr>
                <w:rFonts w:ascii="Arial" w:cs="Arial" w:eastAsia="Arial" w:hAnsi="Arial"/>
                <w:color w:val="6B6B73"/>
                <w:sz w:val="16"/>
                <w:szCs w:val="16"/>
              </w:rPr>
              <w:t xml:space="preserve">Systems &amp; digital twin</w:t>
            </w:r>
          </w:p>
        </w:tc>
        <w:tc>
          <w:tcPr>
            <w:tcW w:type="dxa" w:w="240"/>
            <w:tcBorders>
              <w:top w:val="none" w:color="FFFFFF" w:sz="0"/>
              <w:left w:val="none" w:color="FFFFFF" w:sz="0"/>
              <w:bottom w:val="none" w:color="FFFFFF" w:sz="0"/>
              <w:right w:val="none" w:color="FFFFFF" w:sz="0"/>
            </w:tcBorders>
            <w:tcMar>
              <w:top w:type="dxa" w:w="40"/>
              <w:left w:type="dxa" w:w="80"/>
              <w:bottom w:type="dxa" w:w="40"/>
              <w:right w:type="dxa" w:w="80"/>
            </w:tcMar>
          </w:tcPr>
          <w:p/>
        </w:tc>
        <w:tc>
          <w:tcPr>
            <w:tcW w:type="dxa" w:w="2343"/>
            <w:tcBorders>
              <w:top w:val="single" w:color="0B8A9A" w:sz="18"/>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0E0E0E"/>
                <w:sz w:val="20"/>
                <w:szCs w:val="20"/>
              </w:rPr>
              <w:t xml:space="preserve">Ines Bouissou</w:t>
            </w:r>
          </w:p>
          <w:p>
            <w:r>
              <w:rPr>
                <w:rFonts w:ascii="Arial" w:cs="Arial" w:eastAsia="Arial" w:hAnsi="Arial"/>
                <w:color w:val="6B6B73"/>
                <w:sz w:val="16"/>
                <w:szCs w:val="16"/>
              </w:rPr>
              <w:t xml:space="preserve">NTN modelling &amp; optimisation</w:t>
            </w:r>
          </w:p>
        </w:tc>
        <w:tc>
          <w:tcPr>
            <w:tcW w:type="dxa" w:w="240"/>
            <w:tcBorders>
              <w:top w:val="none" w:color="FFFFFF" w:sz="0"/>
              <w:left w:val="none" w:color="FFFFFF" w:sz="0"/>
              <w:bottom w:val="none" w:color="FFFFFF" w:sz="0"/>
              <w:right w:val="none" w:color="FFFFFF" w:sz="0"/>
            </w:tcBorders>
            <w:tcMar>
              <w:top w:type="dxa" w:w="40"/>
              <w:left w:type="dxa" w:w="80"/>
              <w:bottom w:type="dxa" w:w="40"/>
              <w:right w:type="dxa" w:w="80"/>
            </w:tcMar>
          </w:tcPr>
          <w:p/>
        </w:tc>
        <w:tc>
          <w:tcPr>
            <w:tcW w:type="dxa" w:w="2343"/>
            <w:tcBorders>
              <w:top w:val="single" w:color="0B8A9A" w:sz="18"/>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0E0E0E"/>
                <w:sz w:val="20"/>
                <w:szCs w:val="20"/>
              </w:rPr>
              <w:t xml:space="preserve">Gambhir Sharma</w:t>
            </w:r>
          </w:p>
          <w:p>
            <w:r>
              <w:rPr>
                <w:rFonts w:ascii="Arial" w:cs="Arial" w:eastAsia="Arial" w:hAnsi="Arial"/>
                <w:color w:val="6B6B73"/>
                <w:sz w:val="16"/>
                <w:szCs w:val="16"/>
              </w:rPr>
              <w:t xml:space="preserve">Cloud, APIs &amp; deployment</w:t>
            </w:r>
          </w:p>
        </w:tc>
        <w:tc>
          <w:tcPr>
            <w:tcW w:type="dxa" w:w="240"/>
            <w:tcBorders>
              <w:top w:val="none" w:color="FFFFFF" w:sz="0"/>
              <w:left w:val="none" w:color="FFFFFF" w:sz="0"/>
              <w:bottom w:val="none" w:color="FFFFFF" w:sz="0"/>
              <w:right w:val="none" w:color="FFFFFF" w:sz="0"/>
            </w:tcBorders>
            <w:tcMar>
              <w:top w:type="dxa" w:w="40"/>
              <w:left w:type="dxa" w:w="80"/>
              <w:bottom w:type="dxa" w:w="40"/>
              <w:right w:type="dxa" w:w="80"/>
            </w:tcMar>
          </w:tcPr>
          <w:p/>
        </w:tc>
        <w:tc>
          <w:tcPr>
            <w:tcW w:type="dxa" w:w="2343"/>
            <w:tcBorders>
              <w:top w:val="single" w:color="0B8A9A" w:sz="18"/>
              <w:left w:val="none" w:color="FFFFFF" w:sz="0"/>
              <w:bottom w:val="none" w:color="FFFFFF" w:sz="0"/>
              <w:right w:val="none" w:color="FFFFFF" w:sz="0"/>
            </w:tcBorders>
            <w:tcMar>
              <w:top w:type="dxa" w:w="80"/>
              <w:left w:type="dxa" w:w="0"/>
              <w:bottom w:type="dxa" w:w="60"/>
              <w:right w:type="dxa" w:w="0"/>
            </w:tcMar>
          </w:tcPr>
          <w:p>
            <w:r>
              <w:rPr>
                <w:rFonts w:ascii="Arial" w:cs="Arial" w:eastAsia="Arial" w:hAnsi="Arial"/>
                <w:b/>
                <w:bCs/>
                <w:color w:val="0E0E0E"/>
                <w:sz w:val="20"/>
                <w:szCs w:val="20"/>
              </w:rPr>
              <w:t xml:space="preserve">Maryam Amini</w:t>
            </w:r>
          </w:p>
          <w:p>
            <w:r>
              <w:rPr>
                <w:rFonts w:ascii="Arial" w:cs="Arial" w:eastAsia="Arial" w:hAnsi="Arial"/>
                <w:color w:val="6B6B73"/>
                <w:sz w:val="16"/>
                <w:szCs w:val="16"/>
              </w:rPr>
              <w:t xml:space="preserve">TCO, pricing, regulation &amp; first-buyer case</w:t>
            </w:r>
          </w:p>
        </w:tc>
      </w:tr>
    </w:tbl>
    <w:p>
      <w:pPr>
        <w:spacing w:after="160"/>
      </w:pPr>
    </w:p>
    <w:tbl>
      <w:tblPr>
        <w:tblW w:type="dxa" w:w="1009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6"/>
        <w:gridCol w:w="5046"/>
      </w:tblGrid>
      <w:tr>
        <w:tc>
          <w:tcPr>
            <w:tcW w:type="dxa" w:w="5046"/>
            <w:tcBorders>
              <w:top w:val="single" w:color="D6D6DB" w:sz="4"/>
              <w:left w:val="none" w:color="FFFFFF" w:sz="0"/>
              <w:bottom w:val="none" w:color="FFFFFF" w:sz="0"/>
              <w:right w:val="none" w:color="FFFFFF" w:sz="0"/>
            </w:tcBorders>
            <w:tcMar>
              <w:top w:type="dxa" w:w="120"/>
              <w:left w:type="dxa" w:w="0"/>
              <w:bottom w:type="dxa" w:w="0"/>
              <w:right w:type="dxa" w:w="0"/>
            </w:tcMar>
          </w:tcPr>
          <w:p>
            <w:r>
              <w:rPr>
                <w:rFonts w:ascii="Consolas" w:cs="Consolas" w:eastAsia="Consolas" w:hAnsi="Consolas"/>
                <w:color w:val="6B6B73"/>
                <w:sz w:val="14"/>
                <w:szCs w:val="14"/>
              </w:rPr>
              <w:t xml:space="preserve">LYNQ · EVERY SIGNAL, THE RIGHT PATH.</w:t>
            </w:r>
          </w:p>
        </w:tc>
        <w:tc>
          <w:tcPr>
            <w:tcW w:type="dxa" w:w="5046"/>
            <w:tcBorders>
              <w:top w:val="single" w:color="D6D6DB" w:sz="4"/>
              <w:left w:val="none" w:color="FFFFFF" w:sz="0"/>
              <w:bottom w:val="none" w:color="FFFFFF" w:sz="0"/>
              <w:right w:val="none" w:color="FFFFFF" w:sz="0"/>
            </w:tcBorders>
            <w:tcMar>
              <w:top w:type="dxa" w:w="120"/>
              <w:left w:type="dxa" w:w="0"/>
              <w:bottom w:type="dxa" w:w="0"/>
              <w:right w:type="dxa" w:w="0"/>
            </w:tcMar>
          </w:tcPr>
          <w:p>
            <w:pPr>
              <w:jc w:val="right"/>
            </w:pPr>
            <w:r>
              <w:rPr>
                <w:rFonts w:ascii="Consolas" w:cs="Consolas" w:eastAsia="Consolas" w:hAnsi="Consolas"/>
                <w:color w:val="6B6B73"/>
                <w:sz w:val="14"/>
                <w:szCs w:val="14"/>
              </w:rPr>
              <w:t xml:space="preserve">CHALLENGE BY </w:t>
            </w:r>
            <w:r>
              <w:rPr>
                <w:rFonts w:ascii="Consolas" w:cs="Consolas" w:eastAsia="Consolas" w:hAnsi="Consolas"/>
                <w:b/>
                <w:bCs/>
                <w:color w:val="0E0E0E"/>
                <w:sz w:val="14"/>
                <w:szCs w:val="14"/>
              </w:rPr>
              <w:t xml:space="preserve">OQ TECHNOLOGY</w:t>
            </w:r>
          </w:p>
        </w:tc>
      </w:tr>
    </w:tbl>
    <w:sectPr>
      <w:pgSz w:w="11906" w:h="16838" w:orient="portrait"/>
      <w:pgMar w:top="680" w:right="907" w:bottom="624" w:left="907"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8A9A"/>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53535"/>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0E0E"/>
      <w:sz w:val="27"/>
      <w:szCs w:val="27"/>
    </w:rPr>
  </w:style>
  <w:style w:type="paragraph" w:styleId="Heading2">
    <w:name w:val="Heading 2"/>
    <w:basedOn w:val="Normal"/>
    <w:next w:val="Normal"/>
    <w:qFormat/>
    <w:pPr>
      <w:outlineLvl w:val="1"/>
    </w:pPr>
    <w:rPr>
      <w:rFonts w:ascii="Arial" w:cs="Arial" w:eastAsia="Arial" w:hAnsi="Arial"/>
      <w:b/>
      <w:bCs/>
      <w:color w:val="0E0E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a3b9937525f32abe48a7bc951423960a1e75dd.png"/><Relationship Id="rId8" Type="http://schemas.openxmlformats.org/officeDocument/2006/relationships/image" Target="media/b10c5a9a78b7cc13ed57d9d00bbc00bda94d1db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Lynq NTN-Pulse — Team Proposal</dc:title>
  <dc:creator>Lynq</dc:creator>
  <cp:lastModifiedBy>Un-named</cp:lastModifiedBy>
  <cp:revision>1</cp:revision>
  <dcterms:created xsi:type="dcterms:W3CDTF">2026-09-27T18:35:21.385Z</dcterms:created>
  <dcterms:modified xsi:type="dcterms:W3CDTF">2026-09-27T18:35:21.385Z</dcterms:modified>
</cp:coreProperties>
</file>

<file path=docProps/custom.xml><?xml version="1.0" encoding="utf-8"?>
<Properties xmlns="http://schemas.openxmlformats.org/officeDocument/2006/custom-properties" xmlns:vt="http://schemas.openxmlformats.org/officeDocument/2006/docPropsVTypes"/>
</file>