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2579"/>
        <w:gridCol w:w="2579"/>
        <w:gridCol w:w="2579"/>
        <w:gridCol w:w="2581"/>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~12</w:t>
            </w:r>
          </w:p>
          <w:p>
            <w:r>
              <w:rPr>
                <w:rFonts w:ascii="Arial" w:cs="Arial" w:eastAsia="Arial" w:hAnsi="Arial"/>
                <w:color w:val="353535"/>
                <w:sz w:val="20"/>
                <w:szCs w:val="20"/>
              </w:rPr>
              <w:t xml:space="preserve">satellites in orbit today (OQ's current LEO fleet)</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581"/>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OQ's </w:t>
      </w:r>
      <w:r>
        <w:rPr>
          <w:rFonts w:ascii="JetBrains Mono" w:cs="JetBrains Mono" w:eastAsia="JetBrains Mono" w:hAnsi="JetBrains Mono"/>
          <w:color w:val="B45F12"/>
          <w:sz w:val="20"/>
          <w:szCs w:val="20"/>
        </w:rPr>
        <w:t xml:space="preserve">12</w:t>
      </w:r>
      <w:r>
        <w:rPr>
          <w:rFonts w:ascii="Arial" w:cs="Arial" w:eastAsia="Arial" w:hAnsi="Arial"/>
          <w:color w:val="0E0E0E"/>
          <w:sz w:val="20"/>
          <w:szCs w:val="20"/>
        </w:rPr>
        <w:t xml:space="preserve"> LEO satellites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Twelve satellites give frequent passes, not continuous coverage: alarms go out on the next pass and store-and-forward carries bulk data between passes. At a 5-year life, that is </w:t>
      </w:r>
      <w:r>
        <w:rPr>
          <w:rFonts w:ascii="JetBrains Mono" w:cs="JetBrains Mono" w:eastAsia="JetBrains Mono" w:hAnsi="JetBrains Mono"/>
          <w:color w:val="B45F12"/>
          <w:sz w:val="20"/>
          <w:szCs w:val="20"/>
        </w:rPr>
        <w:t xml:space="preserve">~2–3</w:t>
      </w:r>
      <w:r>
        <w:rPr>
          <w:rFonts w:ascii="Arial" w:cs="Arial" w:eastAsia="Arial" w:hAnsi="Arial"/>
          <w:color w:val="0E0E0E"/>
          <w:sz w:val="20"/>
          <w:szCs w:val="20"/>
        </w:rPr>
        <w:t xml:space="preserve"> replacements per year. More satellites later close the gaps and extend to the Norwegian Sea and Atlantic.</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 Baseline is 3GPP Rel-17 NTN, with Rel-18 enhancements and a Rel-19-ready roadmap.</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 on its own core.</w:t>
      </w:r>
    </w:p>
    <w:p>
      <w:pPr>
        <w:spacing w:after="50" w:line="245"/>
      </w:pPr>
      <w:r>
        <w:rPr>
          <w:rFonts w:ascii="Arial" w:cs="Arial" w:eastAsia="Arial" w:hAnsi="Arial"/>
          <w:color w:val="0E0E0E"/>
          <w:sz w:val="20"/>
          <w:szCs w:val="20"/>
        </w:rPr>
        <w:t xml:space="preserve">Compliance treats ITU Radio Regulations Article 9 coordination and Article 22 EPFD limits as hard design constraints (feeder-link masks, gateway exclusion zones), with applicable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EU 2 GHz MSS, off the critical path</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12-satellite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for direct-to-mobile connectivity funds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2026-09-28T13:52:17.471Z</dcterms:created>
  <dcterms:modified xsi:type="dcterms:W3CDTF">2026-09-28T13:52:17.472Z</dcterms:modified>
</cp:coreProperties>
</file>

<file path=docProps/custom.xml><?xml version="1.0" encoding="utf-8"?>
<Properties xmlns="http://schemas.openxmlformats.org/officeDocument/2006/custom-properties" xmlns:vt="http://schemas.openxmlformats.org/officeDocument/2006/docPropsVTypes"/>
</file>