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4127"/>
        <w:gridCol w:w="1376"/>
        <w:gridCol w:w="2178"/>
        <w:gridCol w:w="2637"/>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412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~12 → 30</w:t>
            </w:r>
          </w:p>
          <w:p>
            <w:r>
              <w:rPr>
                <w:rFonts w:ascii="Arial" w:cs="Arial" w:eastAsia="Arial" w:hAnsi="Arial"/>
                <w:color w:val="353535"/>
                <w:sz w:val="20"/>
                <w:szCs w:val="20"/>
              </w:rPr>
              <w:t xml:space="preserve">satellites: 10 OQ + 2 ERMIS in orbit, 20+ by 2028 under €25M EIB financing, 30 planned</w:t>
            </w:r>
          </w:p>
        </w:tc>
        <w:tc>
          <w:tcPr>
            <w:tcW w:type="dxa" w:w="1376"/>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178"/>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637"/>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one model for today's ~12-satellite fleet and the planned 30: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today's </w:t>
      </w:r>
      <w:r>
        <w:rPr>
          <w:rFonts w:ascii="JetBrains Mono" w:cs="JetBrains Mono" w:eastAsia="JetBrains Mono" w:hAnsi="JetBrains Mono"/>
          <w:color w:val="B45F12"/>
          <w:sz w:val="20"/>
          <w:szCs w:val="20"/>
        </w:rPr>
        <w:t xml:space="preserve">~12</w:t>
      </w:r>
      <w:r>
        <w:rPr>
          <w:rFonts w:ascii="Arial" w:cs="Arial" w:eastAsia="Arial" w:hAnsi="Arial"/>
          <w:color w:val="0E0E0E"/>
          <w:sz w:val="20"/>
          <w:szCs w:val="20"/>
        </w:rPr>
        <w:t xml:space="preserve"> satellites (OQ's 10 + 2 ERMIS) and size the twin for the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Twelve satellites give frequent passes, not continuous coverage: alarms go out on the next pass and store-and-forward carries bulk data between passes. At a 5-year life, a 30-satellite fleet needs </w:t>
      </w:r>
      <w:r>
        <w:rPr>
          <w:rFonts w:ascii="JetBrains Mono" w:cs="JetBrains Mono" w:eastAsia="JetBrains Mono" w:hAnsi="JetBrains Mono"/>
          <w:color w:val="B45F12"/>
          <w:sz w:val="20"/>
          <w:szCs w:val="20"/>
        </w:rPr>
        <w:t xml:space="preserve">~6</w:t>
      </w:r>
      <w:r>
        <w:rPr>
          <w:rFonts w:ascii="Arial" w:cs="Arial" w:eastAsia="Arial" w:hAnsi="Arial"/>
          <w:color w:val="0E0E0E"/>
          <w:sz w:val="20"/>
          <w:szCs w:val="20"/>
        </w:rPr>
        <w:t xml:space="preserve"> replacements per year. Scaling to OQ's planned 30 (e.g., 3 planes × 10) shrinks gaps between passes about 2.5× and lets each plane close an RF inter-satellite ring; the same policies then add mesh relaying and extend to the Norwegian Sea and Atlantic, on the way to OQ's 100 D2D payloads.</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w:t>
      </w:r>
    </w:p>
    <w:p>
      <w:pPr>
        <w:spacing w:after="50" w:line="245"/>
      </w:pPr>
      <w:r>
        <w:rPr>
          <w:rFonts w:ascii="Arial" w:cs="Arial" w:eastAsia="Arial" w:hAnsi="Arial"/>
          <w:color w:val="0E0E0E"/>
          <w:sz w:val="20"/>
          <w:szCs w:val="20"/>
        </w:rPr>
        <w:t xml:space="preserve">Compliance treats ITU Radio Regulations Article 9 coordination and Article 22 EPFD limits as hard design constraints (feeder-link masks, gateway exclusion zones), with applicable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S-band MSS (IoT) and C-band D2D spectrum</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initial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and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EIB venture debt tied to 20+ launches within two years fund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(dedicated and hosted payloads)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at 12 and 30 satellites,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2026-09-28T16:56:27.169Z</dcterms:created>
  <dcterms:modified xsi:type="dcterms:W3CDTF">2026-09-28T16:56:27.169Z</dcterms:modified>
</cp:coreProperties>
</file>

<file path=docProps/custom.xml><?xml version="1.0" encoding="utf-8"?>
<Properties xmlns="http://schemas.openxmlformats.org/officeDocument/2006/custom-properties" xmlns:vt="http://schemas.openxmlformats.org/officeDocument/2006/docPropsVTypes"/>
</file>