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Regras de Negócio — Forzy Digital Twin</w:t>
      </w:r>
    </w:p>
    <w:p>
      <w:r>
        <w:rPr>
          <w:b/>
        </w:rPr>
        <w:t>Projeto:</w:t>
      </w:r>
      <w:r>
        <w:t xml:space="preserve"> Forzy Digital Twin — Monitoramento Preditivo de Motores Industriais</w:t>
      </w:r>
    </w:p>
    <w:p>
      <w:r>
        <w:rPr>
          <w:b/>
        </w:rPr>
        <w:t>Parceria:</w:t>
      </w:r>
      <w:r>
        <w:t xml:space="preserve"> FIAP × Promon</w:t>
      </w:r>
    </w:p>
    <w:p>
      <w:r>
        <w:rPr>
          <w:b/>
        </w:rPr>
        <w:t>Documento:</w:t>
      </w:r>
      <w:r>
        <w:t xml:space="preserve"> Regras de negócio e critérios de decisão do sistema</w:t>
      </w:r>
    </w:p>
    <w:p>
      <w:pPr>
        <w:pStyle w:val="Heading2"/>
      </w:pPr>
      <w:r>
        <w:t>1. Contexto e Objetivo</w:t>
      </w:r>
    </w:p>
    <w:p>
      <w:r>
        <w:t xml:space="preserve">O Forzy Digital Twin é um sistema de </w:t>
      </w:r>
      <w:r>
        <w:rPr>
          <w:b/>
        </w:rPr>
        <w:t>monitoramento preditivo</w:t>
      </w:r>
      <w:r>
        <w:t xml:space="preserve"> para motores elétricos industriais. Sensores físicos instalados nos motores capturam continuamente vibração, velocidade e temperatura; esses dados alimentam modelos de Machine Learning que estimam a saúde do equipamento, detectam anomalias e projetam a vida útil restante — permitindo que a manutenção seja </w:t>
      </w:r>
      <w:r>
        <w:rPr>
          <w:b/>
        </w:rPr>
        <w:t>planejada antes da falha ocorrer</w:t>
      </w:r>
      <w:r>
        <w:t>, em vez de reativa.</w:t>
      </w:r>
    </w:p>
    <w:p>
      <w:r>
        <w:t>O objetivo de negócio é reduzir paradas não planejadas e custos de manutenção corretiva, substituindo a inspeção periódica manual por um acompanhamento contínuo e automatizado da condição real de cada motor.</w:t>
      </w:r>
    </w:p>
    <w:p>
      <w:pPr>
        <w:pStyle w:val="Heading2"/>
      </w:pPr>
      <w:r>
        <w:t>2. Estrutura Organizacional</w:t>
      </w:r>
    </w:p>
    <w:p>
      <w:r>
        <w:t>O sistema organiza os ativos monitorados em três níveis hierárquicos:</w:t>
      </w:r>
    </w:p>
    <w:p>
      <w:pPr>
        <w:pStyle w:val="ListBullet"/>
      </w:pPr>
      <w:r>
        <w:rPr>
          <w:b/>
        </w:rPr>
        <w:t>Planta</w:t>
      </w:r>
      <w:r>
        <w:t xml:space="preserve"> — a instalação física/cliente (ex.: "Forzy - Promon"). Agrupa todas as máquinas de uma mesma unidade.</w:t>
      </w:r>
    </w:p>
    <w:p>
      <w:pPr>
        <w:pStyle w:val="ListBullet"/>
      </w:pPr>
      <w:r>
        <w:rPr>
          <w:b/>
        </w:rPr>
        <w:t>Máquina</w:t>
      </w:r>
      <w:r>
        <w:t xml:space="preserve"> — o motor em si (ex.: "Motor WEG W22 - Unidade S1"). Cada máquina pertence a uma planta.</w:t>
      </w:r>
    </w:p>
    <w:p>
      <w:pPr>
        <w:pStyle w:val="ListBullet"/>
      </w:pPr>
      <w:r>
        <w:rPr>
          <w:b/>
        </w:rPr>
        <w:t>Componente</w:t>
      </w:r>
      <w:r>
        <w:t xml:space="preserve"> — o conjunto monitorado dentro da máquina (hoje, o próprio motor). Cada máquina tem um componente associado, e é o componente que efetivamente recebe leituras de sensor e diagnósticos.</w:t>
      </w:r>
    </w:p>
    <w:p>
      <w:r>
        <w:t>Essa separação existe porque, no mundo real, uma planta pode ter várias máquinas, e futuramente uma máquina poderia ter mais de um componente monitorado (ex.: motor + redutor).</w:t>
      </w:r>
    </w:p>
    <w:p>
      <w:pPr>
        <w:pStyle w:val="Heading2"/>
      </w:pPr>
      <w:r>
        <w:t>3. Coleta de Dados dos Sensores</w:t>
      </w:r>
    </w:p>
    <w:p>
      <w:r>
        <w:t>Cada motor monitorado possui sensores físicos que reportam, a cada ciclo de coleta:</w:t>
      </w:r>
    </w:p>
    <w:p>
      <w:pPr>
        <w:pStyle w:val="ListBullet"/>
      </w:pPr>
      <w:r>
        <w:rPr>
          <w:b/>
        </w:rPr>
        <w:t>Velocidade/Vibração</w:t>
      </w:r>
      <w:r>
        <w:t xml:space="preserve"> (mm/s) — indicador primário de desgaste mecânico (desalinhamento, desbalanceamento, folgas, falha de rolamento).</w:t>
      </w:r>
    </w:p>
    <w:p>
      <w:pPr>
        <w:pStyle w:val="ListBullet"/>
      </w:pPr>
      <w:r>
        <w:rPr>
          <w:b/>
        </w:rPr>
        <w:t>Temperatura</w:t>
      </w:r>
      <w:r>
        <w:t xml:space="preserve"> (°C) — indicador de sobrecarga térmica ou falha de refrigeração.</w:t>
      </w:r>
    </w:p>
    <w:p>
      <w:r>
        <w:t>Essas leituras são armazenadas com carimbo de data/hora e associadas ao componente correspondente, formando um histórico contínuo usado tanto para visualização em tempo real quanto para alimentar os modelos de diagnóstico.</w:t>
      </w:r>
    </w:p>
    <w:p>
      <w:pPr>
        <w:pStyle w:val="Heading2"/>
      </w:pPr>
      <w:r>
        <w:t>4. Estado Operacional do Motor</w:t>
      </w:r>
    </w:p>
    <w:p>
      <w:r>
        <w:t xml:space="preserve">Antes de qualquer diagnóstico, o sistema verifica se o motor está </w:t>
      </w:r>
      <w:r>
        <w:rPr>
          <w:b/>
        </w:rPr>
        <w:t>de fato operando</w:t>
      </w:r>
      <w:r>
        <w:t xml:space="preserve">: se a velocidade média medida está </w:t>
      </w:r>
      <w:r>
        <w:rPr>
          <w:b/>
        </w:rPr>
        <w:t>abaixo de um piso mínimo (0,3 mm/s)</w:t>
      </w:r>
      <w:r>
        <w:t xml:space="preserve">, o motor é considerado </w:t>
      </w:r>
      <w:r>
        <w:rPr>
          <w:b/>
        </w:rPr>
        <w:t>desligado</w:t>
      </w:r>
      <w:r>
        <w:t>, e nenhuma análise de saúde é realizada — evitaria diagnosticar "normalidade" ou "falha" em um motor parado, o que não teria significado prático.</w:t>
      </w:r>
    </w:p>
    <w:p>
      <w:r>
        <w:t>Quando o motor está desligado:</w:t>
      </w:r>
    </w:p>
    <w:p>
      <w:pPr>
        <w:pStyle w:val="ListBullet"/>
      </w:pPr>
      <w:r>
        <w:t>Não é gerado health score, RUL ou classificação de risco.</w:t>
      </w:r>
    </w:p>
    <w:p>
      <w:pPr>
        <w:pStyle w:val="ListBullet"/>
      </w:pPr>
      <w:r>
        <w:t>A recomendação exibida é "Motor fora de operação. Análise de anomalia não aplicável."</w:t>
      </w:r>
    </w:p>
    <w:p>
      <w:r>
        <w:t>Quando o motor está operando, o pipeline de diagnóstico completo (seção 5) é executado.</w:t>
      </w:r>
    </w:p>
    <w:p>
      <w:pPr>
        <w:pStyle w:val="Heading2"/>
      </w:pPr>
      <w:r>
        <w:t>5. Diagnóstico por Inteligência Artificial</w:t>
      </w:r>
    </w:p>
    <w:p>
      <w:r>
        <w:t>Para cada componente em operação, três modelos de ML são combinados para produzir um diagnóstico: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Modelo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O que avalia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Isolation Forest</w:t>
            </w:r>
          </w:p>
        </w:tc>
        <w:tc>
          <w:tcPr>
            <w:tcW w:type="dxa" w:w="4320"/>
          </w:tcPr>
          <w:p>
            <w:r/>
            <w:r>
              <w:t>Detecta se o padrão de vibração/temperatura atual é estatisticamente anômalo em relação ao comportamento histórico normal do motor.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LSTM Autoencoder</w:t>
            </w:r>
          </w:p>
        </w:tc>
        <w:tc>
          <w:tcPr>
            <w:tcW w:type="dxa" w:w="4320"/>
          </w:tcPr>
          <w:p>
            <w:r/>
            <w:r>
              <w:t>Avalia a severidade de um desvio, com base no erro de reconstrução de uma janela temporal recente — quanto maior o erro, mais grave o desvio do padrão esperado.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XGBoost RUL</w:t>
            </w:r>
          </w:p>
        </w:tc>
        <w:tc>
          <w:tcPr>
            <w:tcW w:type="dxa" w:w="4320"/>
          </w:tcPr>
          <w:p>
            <w:r/>
            <w:r>
              <w:t>Estima a Vida Útil Restante (Remaining Useful Life) em horas, com base na tendência de degradação observada.</w:t>
            </w:r>
          </w:p>
        </w:tc>
      </w:tr>
    </w:tbl>
    <w:p>
      <w:pPr>
        <w:pStyle w:val="Heading3"/>
      </w:pPr>
      <w:r>
        <w:t>5.1 Saúde do Motor (Health Score)</w:t>
      </w:r>
    </w:p>
    <w:p>
      <w:r>
        <w:t xml:space="preserve">O </w:t>
      </w:r>
      <w:r>
        <w:rPr>
          <w:b/>
        </w:rPr>
        <w:t>health score</w:t>
      </w:r>
      <w:r>
        <w:t xml:space="preserve"> (0–100%) é a métrica central de saúde do motor. É calculado combinando as duas primeiras análises:</w:t>
      </w:r>
    </w:p>
    <w:p>
      <w:r>
        <w:t xml:space="preserve">&gt; </w:t>
      </w:r>
      <w:r>
        <w:rPr>
          <w:rFonts w:ascii="Consolas" w:hAnsi="Consolas"/>
          <w:sz w:val="20"/>
        </w:rPr>
        <w:t>Saúde = 40% × (normalidade segundo Isolation Forest) + 60% × (normalidade segundo severidade LSTM)</w:t>
      </w:r>
    </w:p>
    <w:p>
      <w:r>
        <w:t>A severidade do LSTM é convertida em pontuação de normalidade segundo a tabela: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Severidade LSTM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Peso de normalidade</w:t>
            </w:r>
          </w:p>
        </w:tc>
      </w:tr>
      <w:tr>
        <w:tc>
          <w:tcPr>
            <w:tcW w:type="dxa" w:w="4320"/>
          </w:tcPr>
          <w:p>
            <w:r/>
            <w:r>
              <w:t>Normal</w:t>
            </w:r>
          </w:p>
        </w:tc>
        <w:tc>
          <w:tcPr>
            <w:tcW w:type="dxa" w:w="4320"/>
          </w:tcPr>
          <w:p>
            <w:r/>
            <w: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t>Baixa</w:t>
            </w:r>
          </w:p>
        </w:tc>
        <w:tc>
          <w:tcPr>
            <w:tcW w:type="dxa" w:w="4320"/>
          </w:tcPr>
          <w:p>
            <w:r/>
            <w:r>
              <w:t>50%</w:t>
            </w:r>
          </w:p>
        </w:tc>
      </w:tr>
      <w:tr>
        <w:tc>
          <w:tcPr>
            <w:tcW w:type="dxa" w:w="4320"/>
          </w:tcPr>
          <w:p>
            <w:r/>
            <w:r>
              <w:t>Média</w:t>
            </w:r>
          </w:p>
        </w:tc>
        <w:tc>
          <w:tcPr>
            <w:tcW w:type="dxa" w:w="4320"/>
          </w:tcPr>
          <w:p>
            <w:r/>
            <w: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t>Alta</w:t>
            </w:r>
          </w:p>
        </w:tc>
        <w:tc>
          <w:tcPr>
            <w:tcW w:type="dxa" w:w="4320"/>
          </w:tcPr>
          <w:p>
            <w:r/>
            <w:r>
              <w:t>10%</w:t>
            </w:r>
          </w:p>
        </w:tc>
      </w:tr>
      <w:tr>
        <w:tc>
          <w:tcPr>
            <w:tcW w:type="dxa" w:w="4320"/>
          </w:tcPr>
          <w:p>
            <w:r/>
            <w:r>
              <w:t>Crítica</w:t>
            </w:r>
          </w:p>
        </w:tc>
        <w:tc>
          <w:tcPr>
            <w:tcW w:type="dxa" w:w="4320"/>
          </w:tcPr>
          <w:p>
            <w:r/>
            <w:r>
              <w:t>0%</w:t>
            </w:r>
          </w:p>
        </w:tc>
      </w:tr>
    </w:tbl>
    <w:p>
      <w:pPr>
        <w:pStyle w:val="Heading3"/>
      </w:pPr>
      <w:r>
        <w:t>5.2 Classificação de Risco (a partir do RUL)</w:t>
      </w:r>
    </w:p>
    <w:p>
      <w:r>
        <w:t>A vida útil restante estimada (em horas) é traduzida em um nível de risco: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RUL estimado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</w:r>
            <w:r>
              <w:rPr>
                <w:b/>
              </w:rPr>
              <w:t>Nível de risco</w:t>
            </w:r>
          </w:p>
        </w:tc>
      </w:tr>
      <w:tr>
        <w:tc>
          <w:tcPr>
            <w:tcW w:type="dxa" w:w="4320"/>
          </w:tcPr>
          <w:p>
            <w:r/>
            <w:r>
              <w:t>Acima de 5.000h</w:t>
            </w:r>
          </w:p>
        </w:tc>
        <w:tc>
          <w:tcPr>
            <w:tcW w:type="dxa" w:w="4320"/>
          </w:tcPr>
          <w:p>
            <w:r/>
            <w:r>
              <w:t>Baixo</w:t>
            </w:r>
          </w:p>
        </w:tc>
      </w:tr>
      <w:tr>
        <w:tc>
          <w:tcPr>
            <w:tcW w:type="dxa" w:w="4320"/>
          </w:tcPr>
          <w:p>
            <w:r/>
            <w:r>
              <w:t>Entre 1.000h e 5.000h</w:t>
            </w:r>
          </w:p>
        </w:tc>
        <w:tc>
          <w:tcPr>
            <w:tcW w:type="dxa" w:w="4320"/>
          </w:tcPr>
          <w:p>
            <w:r/>
            <w:r>
              <w:t>Médio</w:t>
            </w:r>
          </w:p>
        </w:tc>
      </w:tr>
      <w:tr>
        <w:tc>
          <w:tcPr>
            <w:tcW w:type="dxa" w:w="4320"/>
          </w:tcPr>
          <w:p>
            <w:r/>
            <w:r>
              <w:t>Entre 100h e 1.000h</w:t>
            </w:r>
          </w:p>
        </w:tc>
        <w:tc>
          <w:tcPr>
            <w:tcW w:type="dxa" w:w="4320"/>
          </w:tcPr>
          <w:p>
            <w:r/>
            <w:r>
              <w:t>Alto</w:t>
            </w:r>
          </w:p>
        </w:tc>
      </w:tr>
      <w:tr>
        <w:tc>
          <w:tcPr>
            <w:tcW w:type="dxa" w:w="4320"/>
          </w:tcPr>
          <w:p>
            <w:r/>
            <w:r>
              <w:t>Abaixo de 100h</w:t>
            </w:r>
          </w:p>
        </w:tc>
        <w:tc>
          <w:tcPr>
            <w:tcW w:type="dxa" w:w="4320"/>
          </w:tcPr>
          <w:p>
            <w:r/>
            <w:r>
              <w:t>Crítico</w:t>
            </w:r>
          </w:p>
        </w:tc>
      </w:tr>
    </w:tbl>
    <w:p>
      <w:pPr>
        <w:pStyle w:val="Heading3"/>
      </w:pPr>
      <w:r>
        <w:t>5.3 Status Geral do Motor</w:t>
      </w:r>
    </w:p>
    <w:p>
      <w:r>
        <w:t>O status apresentado ao operador combina saúde e risco:</w:t>
      </w:r>
    </w:p>
    <w:p>
      <w:pPr>
        <w:pStyle w:val="ListBullet"/>
      </w:pPr>
      <w:r>
        <w:rPr>
          <w:b/>
        </w:rPr>
        <w:t>Crítico</w:t>
      </w:r>
      <w:r>
        <w:t xml:space="preserve"> — saúde abaixo de 40%, ou risco de RUL crítico.</w:t>
      </w:r>
    </w:p>
    <w:p>
      <w:pPr>
        <w:pStyle w:val="ListBullet"/>
      </w:pPr>
      <w:r>
        <w:rPr>
          <w:b/>
        </w:rPr>
        <w:t>Saudável</w:t>
      </w:r>
      <w:r>
        <w:t xml:space="preserve"> — saúde igual ou acima de 70% </w:t>
      </w:r>
      <w:r>
        <w:rPr>
          <w:b/>
        </w:rPr>
        <w:t>e</w:t>
      </w:r>
      <w:r>
        <w:t xml:space="preserve"> risco de RUL baixo.</w:t>
      </w:r>
    </w:p>
    <w:p>
      <w:pPr>
        <w:pStyle w:val="ListBullet"/>
      </w:pPr>
      <w:r>
        <w:rPr>
          <w:b/>
        </w:rPr>
        <w:t>Atenção</w:t>
      </w:r>
      <w:r>
        <w:t xml:space="preserve"> — demais casos (saúde intermediária ou risco elevado sem ainda ser crítico).</w:t>
      </w:r>
    </w:p>
    <w:p>
      <w:pPr>
        <w:pStyle w:val="ListBullet"/>
      </w:pPr>
      <w:r>
        <w:rPr>
          <w:b/>
        </w:rPr>
        <w:t>Motor desligado</w:t>
      </w:r>
      <w:r>
        <w:t xml:space="preserve"> — quando não há operação (seção 4).</w:t>
      </w:r>
    </w:p>
    <w:p>
      <w:pPr>
        <w:pStyle w:val="Heading3"/>
      </w:pPr>
      <w:r>
        <w:t>5.4 Detecção de Anomalias</w:t>
      </w:r>
    </w:p>
    <w:p>
      <w:r>
        <w:t xml:space="preserve">Um diagnóstico é marcado como </w:t>
      </w:r>
      <w:r>
        <w:rPr>
          <w:b/>
        </w:rPr>
        <w:t>anomalia</w:t>
      </w:r>
      <w:r>
        <w:t xml:space="preserve"> sempre que o Isolation Forest </w:t>
      </w:r>
      <w:r>
        <w:rPr>
          <w:b/>
        </w:rPr>
        <w:t>ou</w:t>
      </w:r>
      <w:r>
        <w:t xml:space="preserve"> o LSTM Autoencoder identificam um desvio significativo — não é necessário que os dois modelos concordem; qualquer um dos dois sinalizando já é suficiente para o alerta, priorizando sensibilidade (não deixar passar um problema real) sobre a ausência de falsos positivos.</w:t>
      </w:r>
    </w:p>
    <w:p>
      <w:pPr>
        <w:pStyle w:val="Heading3"/>
      </w:pPr>
      <w:r>
        <w:t>5.5 Recomendações Automáticas</w:t>
      </w:r>
    </w:p>
    <w:p>
      <w:r>
        <w:t>Cada diagnóstico gera uma recomendação textual em linguagem natural, coerente com o status apurado (ex.: "Motor operando normalmente", "Padrão de operação irregular detectado na vibração. Agendar inspeção."), servindo como orientação direta de ação para a equipe de manutenção, sem exigir interpretação técnica dos números brutos.</w:t>
      </w:r>
    </w:p>
    <w:p>
      <w:pPr>
        <w:pStyle w:val="Heading3"/>
      </w:pPr>
      <w:r>
        <w:t>5.6 Periodicidade do Diagnóstico</w:t>
      </w:r>
    </w:p>
    <w:p>
      <w:r>
        <w:t>O diagnóstico não é recalculado a cada leitura individual — ele roda em um ciclo periódico (a cada 5 minutos), sempre considerando a janela mais recente de leituras acumuladas. Isso reflete a natureza do problema: o desgaste mecânico é um processo gradual, não instantâneo, e não faz sentido de negócio reavaliar a saúde do motor a cada poucos segundos.</w:t>
      </w:r>
    </w:p>
    <w:p>
      <w:pPr>
        <w:pStyle w:val="Heading2"/>
      </w:pPr>
      <w:r>
        <w:t>6. Indicador de Conectividade (Online/Offline)</w:t>
      </w:r>
    </w:p>
    <w:p>
      <w:r>
        <w:t xml:space="preserve">Além do estado operacional do motor (ligado/desligado), o painel exibe se a </w:t>
      </w:r>
      <w:r>
        <w:rPr>
          <w:b/>
        </w:rPr>
        <w:t>conexão de dados</w:t>
      </w:r>
      <w:r>
        <w:t xml:space="preserve"> está ativa: se uma leitura nova chegou nos últimos 30 segundos, o motor aparece como </w:t>
      </w:r>
      <w:r>
        <w:rPr>
          <w:b/>
        </w:rPr>
        <w:t>Online</w:t>
      </w:r>
      <w:r>
        <w:t xml:space="preserve">; caso contrário, </w:t>
      </w:r>
      <w:r>
        <w:rPr>
          <w:b/>
        </w:rPr>
        <w:t>Offline</w:t>
      </w:r>
      <w:r>
        <w:t>.</w:t>
      </w:r>
    </w:p>
    <w:p>
      <w:r>
        <w:t xml:space="preserve">Este indicador responde a uma pergunta diferente da do estado operacional: ele não diz se o motor está funcionando, mas se o sistema está </w:t>
      </w:r>
      <w:r>
        <w:rPr>
          <w:b/>
        </w:rPr>
        <w:t>recebendo dados frescos dele agora</w:t>
      </w:r>
      <w:r>
        <w:t>. Um motor pode estar Online (conexão viva) e ainda assim Desligado (parado fisicamente) — são informações independentes.</w:t>
      </w:r>
    </w:p>
    <w:p>
      <w:pPr>
        <w:pStyle w:val="Heading2"/>
      </w:pPr>
      <w:r>
        <w:t>7. Histórico e Rastreabilidade</w:t>
      </w:r>
    </w:p>
    <w:p>
      <w:r>
        <w:t>Todo diagnóstico gerado é armazenado permanentemente, formando um histórico auditável por motor. Isso permite:</w:t>
      </w:r>
    </w:p>
    <w:p>
      <w:pPr>
        <w:pStyle w:val="ListBullet"/>
      </w:pPr>
      <w:r>
        <w:t xml:space="preserve">Visualizar a </w:t>
      </w:r>
      <w:r>
        <w:rPr>
          <w:b/>
        </w:rPr>
        <w:t>tendência de saúde</w:t>
      </w:r>
      <w:r>
        <w:t xml:space="preserve"> do motor ao longo do tempo (se está piorando, estável ou se recuperando).</w:t>
      </w:r>
    </w:p>
    <w:p>
      <w:pPr>
        <w:pStyle w:val="ListBullet"/>
      </w:pPr>
      <w:r>
        <w:t xml:space="preserve">Calcular a </w:t>
      </w:r>
      <w:r>
        <w:rPr>
          <w:b/>
        </w:rPr>
        <w:t>proporção de tempo</w:t>
      </w:r>
      <w:r>
        <w:t xml:space="preserve"> que o motor passou em cada classificação (Normal / Atenção / Crítico).</w:t>
      </w:r>
    </w:p>
    <w:p>
      <w:pPr>
        <w:pStyle w:val="ListBullet"/>
      </w:pPr>
      <w:r>
        <w:t xml:space="preserve">Identificar quando ocorreu a </w:t>
      </w:r>
      <w:r>
        <w:rPr>
          <w:b/>
        </w:rPr>
        <w:t>última anomalia</w:t>
      </w:r>
      <w:r>
        <w:t xml:space="preserve"> registrada.</w:t>
      </w:r>
    </w:p>
    <w:p>
      <w:pPr>
        <w:pStyle w:val="ListBullet"/>
      </w:pPr>
      <w:r>
        <w:t>Consultar o histórico de leituras brutas de sensor por período (última hora, 6h, 24h, 7 dias).</w:t>
      </w:r>
    </w:p>
    <w:p>
      <w:pPr>
        <w:pStyle w:val="Heading2"/>
      </w:pPr>
      <w:r>
        <w:t>8. Especificações Técnicas do Motor</w:t>
      </w:r>
    </w:p>
    <w:p>
      <w:r>
        <w:t xml:space="preserve">Cada motor cadastrado possui uma ficha técnica (placa de identificação): potência, tensão nominal, corrente nominal, rotação nominal, frequência, número de polos e rendimento. Essas informações contextualizam o diagnóstico — servem de referência de projeto do fabricante para a equipe técnica interpretar o comportamento observado, mas </w:t>
      </w:r>
      <w:r>
        <w:rPr>
          <w:b/>
        </w:rPr>
        <w:t>não alimentam diretamente o cálculo do health score</w:t>
      </w:r>
      <w:r>
        <w:t>, que se baseia exclusivamente no comportamento estatístico das leituras de vibração/temperatura ao longo do tempo.</w:t>
      </w:r>
    </w:p>
    <w:p>
      <w:pPr>
        <w:pStyle w:val="Heading2"/>
      </w:pPr>
      <w:r>
        <w:t>9. Perfis de Acesso</w:t>
      </w:r>
    </w:p>
    <w:p>
      <w:r>
        <w:t>O sistema distingue perfis de usuário (ex.: administrador, técnico, cliente) com diferentes níveis de permissão sobre operações de cadastro e edição de máquinas, componentes e atributos técnicos — o acompanhamento de leituras e diagnósticos é acessível a qualquer usuário autenticado.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