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left w:val="none"/>
          <w:bottom w:val="none"/>
          <w:right w:val="none"/>
          <w:insideH w:val="none"/>
          <w:insideV w:val="none"/>
        </w:tblBorders>
      </w:tblPr>
      <w:tblGrid>
        <w:gridCol w:w="900"/>
        <w:gridCol w:w="6600"/>
        <w:gridCol w:w="3300"/>
      </w:tblGrid>
      <w:tr>
        <w:tc>
          <w:tcPr>
            <w:tcW w:type="dxa" w:w="900"/>
            <w:tcBorders>
              <w:top w:val="none"/>
              <w:left w:val="none"/>
              <w:bottom w:val="none"/>
              <w:right w:val="none"/>
            </w:tcBorders>
            <w:tcMar>
              <w:top w:type="dxa" w:w="0"/>
              <w:left w:type="dxa" w:w="0"/>
              <w:bottom w:type="dxa" w:w="0"/>
              <w:right w:type="dxa" w:w="0"/>
            </w:tcMar>
            <w:vAlign w:val="center"/>
          </w:tcPr>
          <w:p>
            <w:pPr>
              <w:spacing w:after="0"/>
            </w:pPr>
            <w:r>
              <w:drawing>
                <wp:inline distT="0" distB="0" distL="0" distR="0">
                  <wp:extent cx="571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61975"/>
                          </a:xfrm>
                          <a:prstGeom prst="rect">
                            <a:avLst/>
                          </a:prstGeom>
                        </pic:spPr>
                      </pic:pic>
                    </a:graphicData>
                  </a:graphic>
                </wp:inline>
              </w:drawing>
            </w:r>
          </w:p>
        </w:tc>
        <w:tc>
          <w:tcPr>
            <w:tcW w:type="dxa" w:w="6600"/>
            <w:tcBorders>
              <w:top w:val="none"/>
              <w:left w:val="none"/>
              <w:bottom w:val="none"/>
              <w:right w:val="none"/>
            </w:tcBorders>
            <w:tcMar>
              <w:top w:type="dxa" w:w="0"/>
              <w:left w:type="dxa" w:w="150"/>
              <w:bottom w:type="dxa" w:w="0"/>
              <w:right w:type="dxa" w:w="150"/>
            </w:tcMar>
            <w:vAlign w:val="center"/>
          </w:tcPr>
          <w:p>
            <w:pPr>
              <w:spacing w:after="14" w:before="0"/>
            </w:pPr>
            <w:r>
              <w:rPr>
                <w:rFonts w:ascii="Calibri" w:cs="Calibri" w:eastAsia="Calibri" w:hAnsi="Calibri"/>
                <w:b/>
                <w:bCs/>
                <w:i w:val="false"/>
                <w:iCs w:val="false"/>
                <w:caps w:val="false"/>
                <w:color w:val="1A1A1A"/>
                <w:sz w:val="30"/>
                <w:szCs w:val="30"/>
              </w:rPr>
              <w:t xml:space="preserve">TankopaniJam</w:t>
            </w:r>
          </w:p>
          <w:p>
            <w:pPr>
              <w:spacing w:after="0" w:before="0"/>
            </w:pPr>
            <w:r>
              <w:rPr>
                <w:rFonts w:ascii="Calibri" w:cs="Calibri" w:eastAsia="Calibri" w:hAnsi="Calibri"/>
                <w:b w:val="false"/>
                <w:bCs w:val="false"/>
                <w:i w:val="false"/>
                <w:iCs w:val="false"/>
                <w:caps w:val="false"/>
                <w:color w:val="5E5E5E"/>
                <w:sz w:val="17"/>
                <w:szCs w:val="17"/>
              </w:rPr>
              <w:t xml:space="preserve">A game jam at the Nemours Estate, briefed and judged by the children of Nemours Children’s Hospital.</w:t>
            </w:r>
          </w:p>
        </w:tc>
        <w:tc>
          <w:tcPr>
            <w:tcW w:type="dxa" w:w="3300"/>
            <w:tcBorders>
              <w:top w:val="none"/>
              <w:left w:val="none"/>
              <w:bottom w:val="none"/>
              <w:right w:val="none"/>
            </w:tcBorders>
            <w:tcMar>
              <w:top w:type="dxa" w:w="0"/>
              <w:left w:type="dxa" w:w="0"/>
              <w:bottom w:type="dxa" w:w="0"/>
              <w:right w:type="dxa" w:w="0"/>
            </w:tcMar>
            <w:vAlign w:val="center"/>
          </w:tcPr>
          <w:p>
            <w:pPr>
              <w:spacing w:after="8" w:before="0"/>
              <w:jc w:val="right"/>
            </w:pPr>
            <w:r>
              <w:rPr>
                <w:rFonts w:ascii="Calibri" w:cs="Calibri" w:eastAsia="Calibri" w:hAnsi="Calibri"/>
                <w:b/>
                <w:bCs/>
                <w:i w:val="false"/>
                <w:iCs w:val="false"/>
                <w:caps w:val="false"/>
                <w:color w:val="8A6A2B"/>
                <w:sz w:val="19"/>
                <w:szCs w:val="19"/>
              </w:rPr>
              <w:t xml:space="preserve">April 4–9, 2027</w:t>
            </w:r>
          </w:p>
          <w:p>
            <w:pPr>
              <w:spacing w:after="4" w:before="0"/>
              <w:jc w:val="right"/>
            </w:pPr>
            <w:r>
              <w:rPr>
                <w:rFonts w:ascii="Calibri" w:cs="Calibri" w:eastAsia="Calibri" w:hAnsi="Calibri"/>
                <w:b w:val="false"/>
                <w:bCs w:val="false"/>
                <w:i w:val="false"/>
                <w:iCs w:val="false"/>
                <w:caps w:val="false"/>
                <w:color w:val="5E5E5E"/>
                <w:sz w:val="15"/>
                <w:szCs w:val="15"/>
              </w:rPr>
              <w:t xml:space="preserve">Nemours Estate and Hospital</w:t>
            </w:r>
          </w:p>
          <w:p>
            <w:pPr>
              <w:spacing w:after="0" w:before="0"/>
              <w:jc w:val="right"/>
            </w:pPr>
            <w:r>
              <w:rPr>
                <w:rFonts w:ascii="Calibri" w:cs="Calibri" w:eastAsia="Calibri" w:hAnsi="Calibri"/>
                <w:b w:val="false"/>
                <w:bCs w:val="false"/>
                <w:i w:val="false"/>
                <w:iCs w:val="false"/>
                <w:caps w:val="false"/>
                <w:color w:val="5E5E5E"/>
                <w:sz w:val="15"/>
                <w:szCs w:val="15"/>
              </w:rPr>
              <w:t xml:space="preserve">Wilmington, Delaware</w:t>
            </w:r>
          </w:p>
        </w:tc>
      </w:tr>
    </w:tbl>
    <w:p>
      <w:pPr>
        <w:pBdr>
          <w:bottom w:val="single" w:color="D6D2C8" w:sz="6" w:space="6"/>
        </w:pBdr>
        <w:spacing w:after="190" w:before="110"/>
      </w:pPr>
      <w:r>
        <w:rPr>
          <w:rFonts w:ascii="Calibri" w:cs="Calibri" w:eastAsia="Calibri" w:hAnsi="Calibri"/>
          <w:b w:val="false"/>
          <w:bCs w:val="false"/>
          <w:i w:val="false"/>
          <w:iCs w:val="false"/>
          <w:caps w:val="false"/>
          <w:color w:val="1A1A1A"/>
          <w:sz w:val="2"/>
          <w:szCs w:val="2"/>
        </w:rPr>
        <w:t xml:space="preserve"/>
      </w:r>
    </w:p>
    <w:tbl>
      <w:tblPr>
        <w:tblW w:type="dxa" w:w="10800"/>
        <w:tblBorders>
          <w:top w:val="none"/>
          <w:left w:val="none"/>
          <w:bottom w:val="none"/>
          <w:right w:val="none"/>
          <w:insideH w:val="none"/>
          <w:insideV w:val="none"/>
        </w:tblBorders>
      </w:tblPr>
      <w:tblGrid>
        <w:gridCol w:w="6200"/>
        <w:gridCol w:w="300"/>
        <w:gridCol w:w="4300"/>
      </w:tblGrid>
      <w:tr>
        <w:tc>
          <w:tcPr>
            <w:tcW w:type="dxa" w:w="6200"/>
            <w:tcBorders>
              <w:top w:val="none"/>
              <w:left w:val="none"/>
              <w:bottom w:val="none"/>
              <w:right w:val="none"/>
            </w:tcBorders>
            <w:tcMar>
              <w:top w:type="dxa" w:w="0"/>
              <w:left w:type="dxa" w:w="0"/>
              <w:bottom w:type="dxa" w:w="0"/>
              <w:right w:type="dxa" w:w="0"/>
            </w:tcMar>
          </w:tcPr>
          <w:p>
            <w:pPr>
              <w:spacing w:after="70" w:before="0"/>
            </w:pPr>
            <w:r>
              <w:rPr>
                <w:rFonts w:ascii="Calibri" w:cs="Calibri" w:eastAsia="Calibri" w:hAnsi="Calibri"/>
                <w:b/>
                <w:bCs/>
                <w:i w:val="false"/>
                <w:iCs w:val="false"/>
                <w:caps/>
                <w:color w:val="8A6A2B"/>
                <w:spacing w:val="24"/>
                <w:sz w:val="15"/>
                <w:szCs w:val="15"/>
              </w:rPr>
              <w:t xml:space="preserve">For universities</w:t>
            </w:r>
          </w:p>
          <w:p>
            <w:pPr>
              <w:spacing w:after="100" w:before="0"/>
            </w:pPr>
            <w:r>
              <w:rPr>
                <w:rFonts w:ascii="Calibri" w:cs="Calibri" w:eastAsia="Calibri" w:hAnsi="Calibri"/>
                <w:b/>
                <w:bCs/>
                <w:i w:val="false"/>
                <w:iCs w:val="false"/>
                <w:caps w:val="false"/>
                <w:color w:val="1A1A1A"/>
                <w:sz w:val="27"/>
                <w:szCs w:val="27"/>
              </w:rPr>
              <w:t xml:space="preserve">Put a team in the room.</w:t>
            </w:r>
          </w:p>
          <w:p>
            <w:pPr>
              <w:spacing w:after="110" w:before="0"/>
            </w:pPr>
            <w:r>
              <w:rPr>
                <w:rFonts w:ascii="Calibri" w:cs="Calibri" w:eastAsia="Calibri" w:hAnsi="Calibri"/>
                <w:b w:val="false"/>
                <w:bCs w:val="false"/>
                <w:i w:val="false"/>
                <w:iCs w:val="false"/>
                <w:caps w:val="false"/>
                <w:color w:val="5E5E5E"/>
                <w:sz w:val="18"/>
                <w:szCs w:val="18"/>
              </w:rPr>
              <w:t xml:space="preserve">A hundred years ago Alfred I. duPont filled the Nemours Estate with everything he loved, then left it to children going through medical treatment. Over one week in April, five college teams get seventy-two hours to build a game out of that place — for the patients who wrote the brief, and judged by them.</w:t>
            </w:r>
          </w:p>
          <w:p>
            <w:pPr>
              <w:spacing w:after="60" w:before="0"/>
            </w:pPr>
            <w:r>
              <w:rPr>
                <w:rFonts w:ascii="Calibri" w:cs="Calibri" w:eastAsia="Calibri" w:hAnsi="Calibri"/>
                <w:b/>
                <w:bCs/>
                <w:i w:val="false"/>
                <w:iCs w:val="false"/>
                <w:caps w:val="false"/>
                <w:color w:val="1A1A1A"/>
                <w:sz w:val="19"/>
                <w:szCs w:val="19"/>
              </w:rPr>
              <w:t xml:space="preserve">Why it earns the week</w:t>
            </w:r>
          </w:p>
          <w:p>
            <w:pPr>
              <w:spacing w:after="46"/>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val="false"/>
                <w:bCs w:val="false"/>
                <w:i w:val="false"/>
                <w:iCs w:val="false"/>
                <w:caps w:val="false"/>
                <w:color w:val="5E5E5E"/>
                <w:sz w:val="18"/>
                <w:szCs w:val="18"/>
              </w:rPr>
              <w:t xml:space="preserve">A scored external competition against four other institutions, on a published rubric.</w:t>
            </w:r>
          </w:p>
          <w:p>
            <w:pPr>
              <w:spacing w:after="46"/>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val="false"/>
                <w:bCs w:val="false"/>
                <w:i w:val="false"/>
                <w:iCs w:val="false"/>
                <w:caps w:val="false"/>
                <w:color w:val="5E5E5E"/>
                <w:sz w:val="18"/>
                <w:szCs w:val="18"/>
              </w:rPr>
              <w:t xml:space="preserve">Applied learning with a real client, a fixed deadline and a live hand-off.</w:t>
            </w:r>
          </w:p>
          <w:p>
            <w:pPr>
              <w:spacing w:after="46"/>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val="false"/>
                <w:bCs w:val="false"/>
                <w:i w:val="false"/>
                <w:iCs w:val="false"/>
                <w:caps w:val="false"/>
                <w:color w:val="5E5E5E"/>
                <w:sz w:val="18"/>
                <w:szCs w:val="18"/>
              </w:rPr>
              <w:t xml:space="preserve">A portfolio artifact each student can show — and documented assessment evidence per team.</w:t>
            </w:r>
          </w:p>
          <w:p>
            <w:pPr>
              <w:spacing w:after="46"/>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val="false"/>
                <w:bCs w:val="false"/>
                <w:i w:val="false"/>
                <w:iCs w:val="false"/>
                <w:caps w:val="false"/>
                <w:color w:val="5E5E5E"/>
                <w:sz w:val="18"/>
                <w:szCs w:val="18"/>
              </w:rPr>
              <w:t xml:space="preserve">Syllabus-ready outcomes if you want to award credit.</w:t>
            </w:r>
          </w:p>
          <w:p>
            <w:pPr>
              <w:spacing w:after="110"/>
            </w:pPr>
            <w:r>
              <w:rPr>
                <w:rFonts w:ascii="Calibri" w:cs="Calibri" w:eastAsia="Calibri" w:hAnsi="Calibri"/>
                <w:b w:val="false"/>
                <w:bCs w:val="false"/>
                <w:i w:val="false"/>
                <w:iCs w:val="false"/>
                <w:caps w:val="false"/>
                <w:color w:val="8A6A2B"/>
                <w:sz w:val="18"/>
                <w:szCs w:val="18"/>
              </w:rPr>
              <w:t xml:space="preserve">— </w:t>
            </w:r>
            <w:r>
              <w:rPr>
                <w:rFonts w:ascii="Calibri" w:cs="Calibri" w:eastAsia="Calibri" w:hAnsi="Calibri"/>
                <w:b w:val="false"/>
                <w:bCs w:val="false"/>
                <w:i w:val="false"/>
                <w:iCs w:val="false"/>
                <w:caps w:val="false"/>
                <w:color w:val="5E5E5E"/>
                <w:sz w:val="18"/>
                <w:szCs w:val="18"/>
              </w:rPr>
              <w:t xml:space="preserve">No cost to the institution. Meals and on-site equipment are covered.</w:t>
            </w:r>
          </w:p>
          <w:p>
            <w:pPr>
              <w:spacing w:after="60" w:before="0"/>
            </w:pPr>
            <w:r>
              <w:rPr>
                <w:rFonts w:ascii="Calibri" w:cs="Calibri" w:eastAsia="Calibri" w:hAnsi="Calibri"/>
                <w:b/>
                <w:bCs/>
                <w:i w:val="false"/>
                <w:iCs w:val="false"/>
                <w:caps w:val="false"/>
                <w:color w:val="1A1A1A"/>
                <w:sz w:val="19"/>
                <w:szCs w:val="19"/>
              </w:rPr>
              <w:t xml:space="preserve">What your students build</w:t>
            </w:r>
          </w:p>
          <w:p>
            <w:pPr>
              <w:spacing w:after="70" w:before="0"/>
            </w:pPr>
            <w:r>
              <w:rPr>
                <w:rFonts w:ascii="Calibri" w:cs="Calibri" w:eastAsia="Calibri" w:hAnsi="Calibri"/>
                <w:b w:val="false"/>
                <w:bCs w:val="false"/>
                <w:i w:val="false"/>
                <w:iCs w:val="false"/>
                <w:caps w:val="false"/>
                <w:color w:val="5E5E5E"/>
                <w:sz w:val="18"/>
                <w:szCs w:val="18"/>
              </w:rPr>
              <w:t xml:space="preserve">The prompt is written by a panel of present and former patients and revealed on the Sunday evening. Every game must weave in one theme word, two physical objects from the Estate, one educational aspect, one piece of historical context, and a tune from Alfred’s own music collection.</w:t>
            </w:r>
          </w:p>
          <w:p>
            <w:pPr>
              <w:spacing w:after="110" w:before="0"/>
            </w:pPr>
            <w:r>
              <w:rPr>
                <w:rFonts w:ascii="Calibri" w:cs="Calibri" w:eastAsia="Calibri" w:hAnsi="Calibri"/>
                <w:b w:val="false"/>
                <w:bCs w:val="false"/>
                <w:i w:val="false"/>
                <w:iCs w:val="false"/>
                <w:caps w:val="false"/>
                <w:color w:val="5E5E5E"/>
                <w:sz w:val="18"/>
                <w:szCs w:val="18"/>
              </w:rPr>
              <w:t xml:space="preserve">Baseline requirements: 3–10 minutes of play, a working menu in and out, music and sound throughout, playable on Windows or web, and Xbox controller support — with credit for thinking about adaptive controls. 2D or 3D is the team’s call.</w:t>
            </w:r>
          </w:p>
          <w:p>
            <w:pPr>
              <w:spacing w:after="60" w:before="0"/>
            </w:pPr>
            <w:r>
              <w:rPr>
                <w:rFonts w:ascii="Calibri" w:cs="Calibri" w:eastAsia="Calibri" w:hAnsi="Calibri"/>
                <w:b/>
                <w:bCs/>
                <w:i w:val="false"/>
                <w:iCs w:val="false"/>
                <w:caps w:val="false"/>
                <w:color w:val="1A1A1A"/>
                <w:sz w:val="19"/>
                <w:szCs w:val="19"/>
              </w:rPr>
              <w:t xml:space="preserve">How it is judged</w:t>
            </w:r>
          </w:p>
          <w:p>
            <w:pPr>
              <w:spacing w:after="0" w:before="0"/>
            </w:pPr>
            <w:r>
              <w:rPr>
                <w:rFonts w:ascii="Calibri" w:cs="Calibri" w:eastAsia="Calibri" w:hAnsi="Calibri"/>
                <w:b w:val="false"/>
                <w:bCs w:val="false"/>
                <w:i w:val="false"/>
                <w:iCs w:val="false"/>
                <w:caps w:val="false"/>
                <w:color w:val="5E5E5E"/>
                <w:sz w:val="18"/>
                <w:szCs w:val="18"/>
              </w:rPr>
              <w:t xml:space="preserve">Three measures, each named for a figure from the Estate: the Alfred measure for technology, the Jessie measure for education, the Alicia measure for design. Judges combine Estate familiarity, Child Life and education knowledge, and games-industry experience. Patients play every submission and award the Patients’ Pick.</w:t>
            </w:r>
          </w:p>
        </w:tc>
        <w:tc>
          <w:tcPr>
            <w:tcW w:type="dxa" w:w="300"/>
            <w:tcBorders>
              <w:top w:val="none"/>
              <w:left w:val="none"/>
              <w:bottom w:val="none"/>
              <w:right w:val="none"/>
            </w:tcBorders>
            <w:tcMar>
              <w:top w:type="dxa" w:w="0"/>
              <w:left w:type="dxa" w:w="0"/>
              <w:bottom w:type="dxa" w:w="0"/>
              <w:right w:type="dxa" w:w="0"/>
            </w:tcMar>
          </w:tcPr>
          <w:p>
            <w:pPr>
              <w:spacing w:after="0" w:before="0"/>
            </w:pPr>
            <w:r>
              <w:rPr>
                <w:rFonts w:ascii="Calibri" w:cs="Calibri" w:eastAsia="Calibri" w:hAnsi="Calibri"/>
                <w:b w:val="false"/>
                <w:bCs w:val="false"/>
                <w:i w:val="false"/>
                <w:iCs w:val="false"/>
                <w:caps w:val="false"/>
                <w:color w:val="1A1A1A"/>
                <w:sz w:val="2"/>
                <w:szCs w:val="2"/>
              </w:rPr>
              <w:t xml:space="preserve"/>
            </w:r>
          </w:p>
        </w:tc>
        <w:tc>
          <w:tcPr>
            <w:tcW w:type="dxa" w:w="4300"/>
            <w:tcBorders>
              <w:top w:val="none"/>
              <w:left w:val="none"/>
              <w:bottom w:val="none"/>
              <w:right w:val="none"/>
            </w:tcBorders>
            <w:tcMar>
              <w:top w:type="dxa" w:w="0"/>
              <w:left w:type="dxa" w:w="0"/>
              <w:bottom w:type="dxa" w:w="0"/>
              <w:right w:type="dxa" w:w="0"/>
            </w:tcMar>
          </w:tcPr>
          <w:tbl>
            <w:tblPr>
              <w:tblW w:type="dxa" w:w="4300"/>
              <w:tblBorders>
                <w:top w:val="single" w:color="C9C4B8" w:sz="6"/>
                <w:left w:val="single" w:color="C9C4B8" w:sz="6"/>
                <w:bottom w:val="single" w:color="C9C4B8" w:sz="6"/>
                <w:right w:val="single" w:color="C9C4B8" w:sz="6"/>
                <w:insideH w:val="none"/>
                <w:insideV w:val="none"/>
              </w:tblBorders>
            </w:tblPr>
            <w:tblGrid>
              <w:gridCol w:w="4300"/>
            </w:tblGrid>
            <w:tr>
              <w:tc>
                <w:tcPr>
                  <w:tcW w:type="dxa" w:w="4300"/>
                  <w:shd w:fill="F4F1EA" w:color="auto" w:val="clear"/>
                  <w:tcMar>
                    <w:top w:type="dxa" w:w="130"/>
                    <w:left w:type="dxa" w:w="170"/>
                    <w:bottom w:type="dxa" w:w="130"/>
                    <w:right w:type="dxa" w:w="170"/>
                  </w:tcMar>
                </w:tcPr>
                <w:p>
                  <w:pPr>
                    <w:spacing w:after="70" w:before="0"/>
                  </w:pPr>
                  <w:r>
                    <w:rPr>
                      <w:rFonts w:ascii="Calibri" w:cs="Calibri" w:eastAsia="Calibri" w:hAnsi="Calibri"/>
                      <w:b/>
                      <w:bCs/>
                      <w:i w:val="false"/>
                      <w:iCs w:val="false"/>
                      <w:caps/>
                      <w:color w:val="8A6A2B"/>
                      <w:spacing w:val="22"/>
                      <w:sz w:val="16"/>
                      <w:szCs w:val="16"/>
                    </w:rPr>
                    <w:t xml:space="preserve">At a glance</w:t>
                  </w:r>
                </w:p>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Dates</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Sun 4 – Fri 9 April 2027</w:t>
                        </w:r>
                      </w:p>
                    </w:tc>
                  </w:tr>
                </w:tbl>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Where</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Nemours Estate and Hospital, Wilmington, DE</w:t>
                        </w:r>
                      </w:p>
                    </w:tc>
                  </w:tr>
                </w:tbl>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Teams</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Five, of 2–5 students each</w:t>
                        </w:r>
                      </w:p>
                    </w:tc>
                  </w:tr>
                </w:tbl>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Build</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72 hours, Mon–Wed</w:t>
                        </w:r>
                      </w:p>
                    </w:tc>
                  </w:tr>
                </w:tbl>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Cost</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None to the institution</w:t>
                        </w:r>
                      </w:p>
                    </w:tc>
                  </w:tr>
                </w:tbl>
                <w:tbl>
                  <w:tblPr>
                    <w:tblW w:type="dxa" w:w="4000"/>
                    <w:tblBorders>
                      <w:top w:val="none"/>
                      <w:left w:val="none"/>
                      <w:bottom w:val="none"/>
                      <w:right w:val="none"/>
                      <w:insideH w:val="none"/>
                      <w:insideV w:val="none"/>
                    </w:tblBorders>
                  </w:tblPr>
                  <w:tblGrid>
                    <w:gridCol w:w="1500"/>
                    <w:gridCol w:w="2500"/>
                  </w:tblGrid>
                  <w:tr>
                    <w:tc>
                      <w:tcPr>
                        <w:tcW w:type="dxa" w:w="1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bCs/>
                            <w:i w:val="false"/>
                            <w:iCs w:val="false"/>
                            <w:caps/>
                            <w:color w:val="8A6A2B"/>
                            <w:spacing w:val="16"/>
                            <w:sz w:val="15"/>
                            <w:szCs w:val="15"/>
                          </w:rPr>
                          <w:t xml:space="preserve">Slots</w:t>
                        </w:r>
                      </w:p>
                    </w:tc>
                    <w:tc>
                      <w:tcPr>
                        <w:tcW w:type="dxa" w:w="2500"/>
                        <w:tcBorders>
                          <w:top w:val="none"/>
                          <w:left w:val="none"/>
                          <w:bottom w:val="none"/>
                          <w:right w:val="none"/>
                        </w:tcBorders>
                        <w:tcMar>
                          <w:top w:type="dxa" w:w="34"/>
                          <w:left w:type="dxa" w:w="0"/>
                          <w:bottom w:type="dxa" w:w="34"/>
                          <w:right w:type="dxa" w:w="0"/>
                        </w:tcMar>
                      </w:tcPr>
                      <w:p>
                        <w:pPr>
                          <w:spacing w:after="0" w:before="0"/>
                        </w:pPr>
                        <w:r>
                          <w:rPr>
                            <w:rFonts w:ascii="Calibri" w:cs="Calibri" w:eastAsia="Calibri" w:hAnsi="Calibri"/>
                            <w:b w:val="false"/>
                            <w:bCs w:val="false"/>
                            <w:i w:val="false"/>
                            <w:iCs w:val="false"/>
                            <w:caps w:val="false"/>
                            <w:color w:val="1A1A1A"/>
                            <w:sz w:val="17"/>
                            <w:szCs w:val="17"/>
                          </w:rPr>
                          <w:t xml:space="preserve">One team per invited school</w:t>
                        </w:r>
                      </w:p>
                    </w:tc>
                  </w:tr>
                </w:tbl>
                <w:p/>
              </w:tc>
            </w:tr>
          </w:tbl>
          <w:p>
            <w:pPr>
              <w:spacing w:after="60" w:before="200"/>
            </w:pPr>
            <w:r>
              <w:rPr>
                <w:rFonts w:ascii="Calibri" w:cs="Calibri" w:eastAsia="Calibri" w:hAnsi="Calibri"/>
                <w:b/>
                <w:bCs/>
                <w:i w:val="false"/>
                <w:iCs w:val="false"/>
                <w:caps w:val="false"/>
                <w:color w:val="1A1A1A"/>
                <w:sz w:val="19"/>
                <w:szCs w:val="19"/>
              </w:rPr>
              <w:t xml:space="preserve">The week</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Sun 4 — Arrival, Estate tour, meet the patient panel. Prompt revealed around 5pm.</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Mon 5 – Wed 7 — Three build days, two check-ins each day.</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Wed 7, 5pm — Final builds submitted to the judges’ station.</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Thu 8 — Teams rest. Judges, patients, staff and families play-test and score.</w:t>
            </w:r>
          </w:p>
          <w:p>
            <w:pPr>
              <w:spacing w:after="130"/>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Fri 9 — Awards, presented by the patients.</w:t>
            </w:r>
          </w:p>
          <w:p>
            <w:pPr>
              <w:spacing w:after="60" w:before="0"/>
            </w:pPr>
            <w:r>
              <w:rPr>
                <w:rFonts w:ascii="Calibri" w:cs="Calibri" w:eastAsia="Calibri" w:hAnsi="Calibri"/>
                <w:b/>
                <w:bCs/>
                <w:i w:val="false"/>
                <w:iCs w:val="false"/>
                <w:caps w:val="false"/>
                <w:color w:val="1A1A1A"/>
                <w:sz w:val="19"/>
                <w:szCs w:val="19"/>
              </w:rPr>
              <w:t xml:space="preserve">What you commit</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One team of 2–5 students, formed by the students themselves. No solo entries and no placement service.</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Students in a related field — game development, computer science, business — with a GPA of 3.0 or higher.</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One Faculty Lead from your school, shared by the whole team, who covers at least two of the six check-ins.</w:t>
            </w:r>
          </w:p>
          <w:p>
            <w:pPr>
              <w:spacing w:after="46"/>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Students bring their own laptop or desktop and use the engine of their choice.</w:t>
            </w:r>
          </w:p>
          <w:p>
            <w:pPr>
              <w:spacing w:after="130"/>
            </w:pPr>
            <w:r>
              <w:rPr>
                <w:rFonts w:ascii="Calibri" w:cs="Calibri" w:eastAsia="Calibri" w:hAnsi="Calibri"/>
                <w:b w:val="false"/>
                <w:bCs w:val="false"/>
                <w:i w:val="false"/>
                <w:iCs w:val="false"/>
                <w:caps w:val="false"/>
                <w:color w:val="8A6A2B"/>
                <w:sz w:val="17"/>
                <w:szCs w:val="17"/>
              </w:rPr>
              <w:t xml:space="preserve">— </w:t>
            </w:r>
            <w:r>
              <w:rPr>
                <w:rFonts w:ascii="Calibri" w:cs="Calibri" w:eastAsia="Calibri" w:hAnsi="Calibri"/>
                <w:b w:val="false"/>
                <w:bCs w:val="false"/>
                <w:i w:val="false"/>
                <w:iCs w:val="false"/>
                <w:caps w:val="false"/>
                <w:color w:val="5E5E5E"/>
                <w:sz w:val="17"/>
                <w:szCs w:val="17"/>
              </w:rPr>
              <w:t xml:space="preserve">Attendance for the week, including the Sunday tour and the Wednesday submission.</w:t>
            </w:r>
          </w:p>
          <w:p>
            <w:pPr>
              <w:spacing w:after="60" w:before="0"/>
            </w:pPr>
            <w:r>
              <w:rPr>
                <w:rFonts w:ascii="Calibri" w:cs="Calibri" w:eastAsia="Calibri" w:hAnsi="Calibri"/>
                <w:b/>
                <w:bCs/>
                <w:i w:val="false"/>
                <w:iCs w:val="false"/>
                <w:caps w:val="false"/>
                <w:color w:val="1A1A1A"/>
                <w:sz w:val="19"/>
                <w:szCs w:val="19"/>
              </w:rPr>
              <w:t xml:space="preserve">Ownership and showcase rights</w:t>
            </w:r>
          </w:p>
          <w:p>
            <w:pPr>
              <w:spacing w:after="0" w:before="0"/>
            </w:pPr>
            <w:r>
              <w:rPr>
                <w:rFonts w:ascii="Calibri" w:cs="Calibri" w:eastAsia="Calibri" w:hAnsi="Calibri"/>
                <w:b w:val="false"/>
                <w:bCs w:val="false"/>
                <w:i w:val="false"/>
                <w:iCs w:val="false"/>
                <w:caps w:val="false"/>
                <w:color w:val="5E5E5E"/>
                <w:sz w:val="17"/>
                <w:szCs w:val="17"/>
              </w:rPr>
              <w:t xml:space="preserve">The Nemours Estate owns everything created during the event — code, assets, design and mechanics. Students keep the permanent right to say they made it for TankopaniJam and to use it in portfolios and applications. Your institution is granted access to showcase its students’ work as evidence of its academic programs. No compensation is paid to students or institutions.</w:t>
            </w:r>
          </w:p>
        </w:tc>
      </w:tr>
    </w:tbl>
    <w:p>
      <w:pPr>
        <w:pBdr>
          <w:bottom w:val="single" w:color="D6D2C8" w:sz="6" w:space="6"/>
        </w:pBdr>
        <w:spacing w:after="150" w:before="170"/>
      </w:pPr>
      <w:r>
        <w:rPr>
          <w:rFonts w:ascii="Calibri" w:cs="Calibri" w:eastAsia="Calibri" w:hAnsi="Calibri"/>
          <w:b w:val="false"/>
          <w:bCs w:val="false"/>
          <w:i w:val="false"/>
          <w:iCs w:val="false"/>
          <w:caps w:val="false"/>
          <w:color w:val="1A1A1A"/>
          <w:sz w:val="2"/>
          <w:szCs w:val="2"/>
        </w:rPr>
        <w:t xml:space="preserve"/>
      </w:r>
    </w:p>
    <w:tbl>
      <w:tblPr>
        <w:tblW w:type="dxa" w:w="10800"/>
        <w:tblBorders>
          <w:top w:val="none"/>
          <w:left w:val="none"/>
          <w:bottom w:val="none"/>
          <w:right w:val="none"/>
          <w:insideH w:val="none"/>
          <w:insideV w:val="none"/>
        </w:tblBorders>
      </w:tblPr>
      <w:tblGrid>
        <w:gridCol w:w="5400"/>
        <w:gridCol w:w="5400"/>
      </w:tblGrid>
      <w:tr>
        <w:tc>
          <w:tcPr>
            <w:tcW w:type="dxa" w:w="5400"/>
            <w:tcBorders>
              <w:top w:val="none"/>
              <w:left w:val="none"/>
              <w:bottom w:val="none"/>
              <w:right w:val="none"/>
            </w:tcBorders>
            <w:tcMar>
              <w:top w:type="dxa" w:w="0"/>
              <w:left w:type="dxa" w:w="0"/>
              <w:bottom w:type="dxa" w:w="0"/>
              <w:right w:type="dxa" w:w="0"/>
            </w:tcMar>
          </w:tcPr>
          <w:p>
            <w:pPr>
              <w:spacing w:after="6" w:before="0"/>
            </w:pPr>
            <w:r>
              <w:rPr>
                <w:rFonts w:ascii="Calibri" w:cs="Calibri" w:eastAsia="Calibri" w:hAnsi="Calibri"/>
                <w:b w:val="false"/>
                <w:bCs w:val="false"/>
                <w:i w:val="false"/>
                <w:iCs w:val="false"/>
                <w:caps w:val="false"/>
                <w:color w:val="5E5E5E"/>
                <w:sz w:val="17"/>
                <w:szCs w:val="17"/>
              </w:rPr>
              <w:t xml:space="preserve">Request the full one-pager, or tell us you are in:</w:t>
            </w:r>
          </w:p>
          <w:p>
            <w:pPr>
              <w:spacing w:after="0" w:before="0"/>
            </w:pPr>
            <w:r>
              <w:rPr>
                <w:rFonts w:ascii="Calibri" w:cs="Calibri" w:eastAsia="Calibri" w:hAnsi="Calibri"/>
                <w:b/>
                <w:bCs/>
                <w:i w:val="false"/>
                <w:iCs w:val="false"/>
                <w:caps w:val="false"/>
                <w:color w:val="8A6A2B"/>
                <w:sz w:val="19"/>
                <w:szCs w:val="19"/>
              </w:rPr>
              <w:t xml:space="preserve">help@tankopanijam.com</w:t>
            </w:r>
          </w:p>
        </w:tc>
        <w:tc>
          <w:tcPr>
            <w:tcW w:type="dxa" w:w="5400"/>
            <w:tcBorders>
              <w:top w:val="none"/>
              <w:left w:val="none"/>
              <w:bottom w:val="none"/>
              <w:right w:val="none"/>
            </w:tcBorders>
            <w:tcMar>
              <w:top w:type="dxa" w:w="0"/>
              <w:left w:type="dxa" w:w="0"/>
              <w:bottom w:type="dxa" w:w="0"/>
              <w:right w:type="dxa" w:w="0"/>
            </w:tcMar>
          </w:tcPr>
          <w:p>
            <w:pPr>
              <w:spacing w:after="6" w:before="0"/>
              <w:jc w:val="right"/>
            </w:pPr>
            <w:r>
              <w:rPr>
                <w:rFonts w:ascii="Calibri" w:cs="Calibri" w:eastAsia="Calibri" w:hAnsi="Calibri"/>
                <w:b w:val="false"/>
                <w:bCs w:val="false"/>
                <w:i w:val="false"/>
                <w:iCs w:val="false"/>
                <w:caps w:val="false"/>
                <w:color w:val="7A7A7A"/>
                <w:sz w:val="16"/>
                <w:szCs w:val="16"/>
              </w:rPr>
              <w:t xml:space="preserve">Commitments close [date]</w:t>
            </w:r>
          </w:p>
          <w:p>
            <w:pPr>
              <w:spacing w:after="0" w:before="0"/>
              <w:jc w:val="right"/>
            </w:pPr>
            <w:r>
              <w:rPr>
                <w:rFonts w:ascii="Calibri" w:cs="Calibri" w:eastAsia="Calibri" w:hAnsi="Calibri"/>
                <w:b w:val="false"/>
                <w:bCs w:val="false"/>
                <w:i w:val="false"/>
                <w:iCs w:val="false"/>
                <w:caps w:val="false"/>
                <w:color w:val="7A7A7A"/>
                <w:sz w:val="16"/>
                <w:szCs w:val="16"/>
              </w:rPr>
              <w:t xml:space="preserve">Five slots, one team per invited school.</w:t>
            </w:r>
          </w:p>
        </w:tc>
      </w:tr>
    </w:tbl>
    <w:sectPr>
      <w:pgSz w:w="12240" w:h="15840" w:orient="portrait"/>
      <w:pgMar w:top="70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fa623ed43cf50a096d7ff51361d9e753b33a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2026-09-21T19:35:52.998Z</dcterms:created>
  <dcterms:modified xsi:type="dcterms:W3CDTF">2026-09-21T19:35:52.999Z</dcterms:modified>
</cp:coreProperties>
</file>

<file path=docProps/custom.xml><?xml version="1.0" encoding="utf-8"?>
<Properties xmlns="http://schemas.openxmlformats.org/officeDocument/2006/custom-properties" xmlns:vt="http://schemas.openxmlformats.org/officeDocument/2006/docPropsVTypes"/>
</file>