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14287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00175"/>
                    </a:xfrm>
                    <a:prstGeom prst="rect">
                      <a:avLst/>
                    </a:prstGeom>
                  </pic:spPr>
                </pic:pic>
              </a:graphicData>
            </a:graphic>
          </wp:inline>
        </w:drawing>
      </w:r>
    </w:p>
    <w:p>
      <w:pPr>
        <w:spacing w:after="60" w:before="0"/>
        <w:jc w:val="center"/>
      </w:pPr>
      <w:r>
        <w:rPr>
          <w:rFonts w:ascii="Calibri" w:cs="Calibri" w:eastAsia="Calibri" w:hAnsi="Calibri"/>
          <w:b/>
          <w:bCs/>
          <w:i w:val="false"/>
          <w:iCs w:val="false"/>
          <w:caps w:val="false"/>
          <w:color w:val="1A1A1A"/>
          <w:sz w:val="46"/>
          <w:szCs w:val="46"/>
        </w:rPr>
        <w:t xml:space="preserve">TankopaniJam</w:t>
      </w:r>
    </w:p>
    <w:p>
      <w:pPr>
        <w:spacing w:after="150" w:before="0"/>
        <w:jc w:val="center"/>
      </w:pPr>
      <w:r>
        <w:rPr>
          <w:rFonts w:ascii="Calibri" w:cs="Calibri" w:eastAsia="Calibri" w:hAnsi="Calibri"/>
          <w:b/>
          <w:bCs/>
          <w:i w:val="false"/>
          <w:iCs w:val="false"/>
          <w:caps/>
          <w:color w:val="8A6A2B"/>
          <w:spacing w:val="36"/>
          <w:sz w:val="24"/>
          <w:szCs w:val="24"/>
        </w:rPr>
        <w:t xml:space="preserve">Sponsorship prospectus</w:t>
      </w:r>
    </w:p>
    <w:p>
      <w:pPr>
        <w:pBdr>
          <w:bottom w:val="single" w:color="D6D2C8" w:sz="6" w:space="6"/>
        </w:pBdr>
        <w:spacing w:after="150" w:before="0"/>
      </w:pPr>
      <w:r>
        <w:rPr>
          <w:rFonts w:ascii="Calibri" w:cs="Calibri" w:eastAsia="Calibri" w:hAnsi="Calibri"/>
          <w:b w:val="false"/>
          <w:bCs w:val="false"/>
          <w:i w:val="false"/>
          <w:iCs w:val="false"/>
          <w:caps w:val="false"/>
          <w:color w:val="1A1A1A"/>
          <w:sz w:val="2"/>
          <w:szCs w:val="2"/>
        </w:rPr>
        <w:t xml:space="preserve"/>
      </w:r>
    </w:p>
    <w:p>
      <w:pPr>
        <w:spacing w:after="260" w:before="0"/>
        <w:jc w:val="center"/>
      </w:pPr>
      <w:r>
        <w:rPr>
          <w:rFonts w:ascii="Calibri" w:cs="Calibri" w:eastAsia="Calibri" w:hAnsi="Calibri"/>
          <w:b w:val="false"/>
          <w:bCs w:val="false"/>
          <w:i w:val="false"/>
          <w:iCs w:val="false"/>
          <w:caps w:val="false"/>
          <w:color w:val="5E5E5E"/>
          <w:sz w:val="19"/>
          <w:szCs w:val="19"/>
        </w:rPr>
        <w:t xml:space="preserve">April 4–9, 2027 · The Nemours Estate and Hospital, Wilmington, Delaware</w:t>
      </w:r>
    </w:p>
    <w:p>
      <w:pPr>
        <w:spacing w:after="160" w:before="0"/>
        <w:ind w:left="900" w:right="900"/>
        <w:jc w:val="center"/>
      </w:pPr>
      <w:r>
        <w:rPr>
          <w:rFonts w:ascii="Calibri" w:cs="Calibri" w:eastAsia="Calibri" w:hAnsi="Calibri"/>
          <w:b w:val="false"/>
          <w:bCs w:val="false"/>
          <w:i w:val="false"/>
          <w:iCs w:val="false"/>
          <w:caps w:val="false"/>
          <w:color w:val="1A1A1A"/>
          <w:sz w:val="22"/>
          <w:szCs w:val="22"/>
        </w:rPr>
        <w:t xml:space="preserve">A hundred years ago Alfred I. duPont filled this place with everything he loved. Then he left it to children going through medical treatment. Now five college teams get seventy-two hours to build something for them, out of it.</w:t>
      </w:r>
    </w:p>
    <w:p>
      <w:pPr>
        <w:spacing w:after="0" w:before="0"/>
        <w:ind w:left="900" w:right="900"/>
        <w:jc w:val="center"/>
      </w:pPr>
      <w:r>
        <w:rPr>
          <w:rFonts w:ascii="Calibri" w:cs="Calibri" w:eastAsia="Calibri" w:hAnsi="Calibri"/>
          <w:b w:val="false"/>
          <w:bCs w:val="false"/>
          <w:i/>
          <w:iCs/>
          <w:caps w:val="false"/>
          <w:color w:val="8A6A2B"/>
          <w:sz w:val="19"/>
          <w:szCs w:val="19"/>
        </w:rPr>
        <w:t xml:space="preserve">A tinkerer, an inventor, a musician filled this house. Fund the next generation of creators.</w:t>
      </w:r>
    </w:p>
    <w:p>
      <w:pPr>
        <w:spacing w:before="1500"/>
        <w:jc w:val="center"/>
      </w:pPr>
      <w:r>
        <w:rPr>
          <w:rFonts w:ascii="Calibri" w:cs="Calibri" w:eastAsia="Calibri" w:hAnsi="Calibri"/>
          <w:b w:val="false"/>
          <w:bCs w:val="false"/>
          <w:i w:val="false"/>
          <w:iCs w:val="false"/>
          <w:caps/>
          <w:color w:val="7A7A7A"/>
          <w:spacing w:val="14"/>
          <w:sz w:val="15"/>
          <w:szCs w:val="15"/>
        </w:rPr>
        <w:t xml:space="preserve">SAMPLE DOCUMENT — figures shown in brackets are illustrative and not yet set.</w:t>
      </w:r>
    </w:p>
    <w:p>
      <w:r>
        <w:br w:type="page"/>
      </w:r>
    </w:p>
    <w:p>
      <w:pPr>
        <w:spacing w:after="70" w:before="0"/>
      </w:pPr>
      <w:r>
        <w:rPr>
          <w:rFonts w:ascii="Calibri" w:cs="Calibri" w:eastAsia="Calibri" w:hAnsi="Calibri"/>
          <w:b/>
          <w:bCs/>
          <w:i w:val="false"/>
          <w:iCs w:val="false"/>
          <w:caps/>
          <w:color w:val="8A6A2B"/>
          <w:spacing w:val="24"/>
          <w:sz w:val="15"/>
          <w:szCs w:val="15"/>
        </w:rPr>
        <w:t xml:space="preserve">The event</w:t>
      </w:r>
    </w:p>
    <w:p>
      <w:pPr>
        <w:spacing w:after="120" w:before="0"/>
      </w:pPr>
      <w:r>
        <w:rPr>
          <w:rFonts w:ascii="Calibri" w:cs="Calibri" w:eastAsia="Calibri" w:hAnsi="Calibri"/>
          <w:b/>
          <w:bCs/>
          <w:i w:val="false"/>
          <w:iCs w:val="false"/>
          <w:caps w:val="false"/>
          <w:color w:val="1A1A1A"/>
          <w:sz w:val="30"/>
          <w:szCs w:val="30"/>
        </w:rPr>
        <w:t xml:space="preserve">One week, five teams, an audience of one.</w:t>
      </w:r>
    </w:p>
    <w:p>
      <w:pPr>
        <w:spacing w:after="80" w:before="0"/>
      </w:pPr>
      <w:r>
        <w:rPr>
          <w:rFonts w:ascii="Calibri" w:cs="Calibri" w:eastAsia="Calibri" w:hAnsi="Calibri"/>
          <w:b w:val="false"/>
          <w:bCs w:val="false"/>
          <w:i w:val="false"/>
          <w:iCs w:val="false"/>
          <w:caps w:val="false"/>
          <w:color w:val="5E5E5E"/>
          <w:sz w:val="19"/>
          <w:szCs w:val="19"/>
        </w:rPr>
        <w:t xml:space="preserve">TankopaniJam is a college game jam run inside the Nemours Estate and Nemours Children’s Hospital. Five teams of two to five students arrive on the Sunday, tour the Estate, and meet the panel of present and former patients who wrote their brief. The prompt is revealed that evening. They have until 5pm on Wednesday.</w:t>
      </w:r>
    </w:p>
    <w:p>
      <w:pPr>
        <w:spacing w:after="80" w:before="0"/>
      </w:pPr>
      <w:r>
        <w:rPr>
          <w:rFonts w:ascii="Calibri" w:cs="Calibri" w:eastAsia="Calibri" w:hAnsi="Calibri"/>
          <w:b w:val="false"/>
          <w:bCs w:val="false"/>
          <w:i w:val="false"/>
          <w:iCs w:val="false"/>
          <w:caps w:val="false"/>
          <w:color w:val="5E5E5E"/>
          <w:sz w:val="19"/>
          <w:szCs w:val="19"/>
        </w:rPr>
        <w:t xml:space="preserve">Every game is built out of the Estate itself — two physical objects from the collection, one educational aspect, one piece of historical context, and a tune from Alfred duPont’s own music library. On Thursday the teams rest while the patients, their families, hospital staff and a panel of judges play every submission and score it. On Friday the patients hand out the awards.</w:t>
      </w:r>
    </w:p>
    <w:p>
      <w:pPr>
        <w:spacing w:after="170" w:before="0"/>
      </w:pPr>
      <w:r>
        <w:rPr>
          <w:rFonts w:ascii="Calibri" w:cs="Calibri" w:eastAsia="Calibri" w:hAnsi="Calibri"/>
          <w:b w:val="false"/>
          <w:bCs w:val="false"/>
          <w:i w:val="false"/>
          <w:iCs w:val="false"/>
          <w:caps w:val="false"/>
          <w:color w:val="1A1A1A"/>
          <w:sz w:val="19"/>
          <w:szCs w:val="19"/>
        </w:rPr>
        <w:t xml:space="preserve">The games do not get archived afterwards. They go into the Estate’s collection and into rotation at the bedside, played by patients long after the week is over.</w:t>
      </w:r>
    </w:p>
    <w:p>
      <w:pPr>
        <w:spacing w:after="70" w:before="0"/>
      </w:pPr>
      <w:r>
        <w:rPr>
          <w:rFonts w:ascii="Calibri" w:cs="Calibri" w:eastAsia="Calibri" w:hAnsi="Calibri"/>
          <w:b/>
          <w:bCs/>
          <w:i w:val="false"/>
          <w:iCs w:val="false"/>
          <w:caps/>
          <w:color w:val="8A6A2B"/>
          <w:spacing w:val="24"/>
          <w:sz w:val="15"/>
          <w:szCs w:val="15"/>
        </w:rPr>
        <w:t xml:space="preserve">Why it matters</w:t>
      </w:r>
    </w:p>
    <w:tbl>
      <w:tblPr>
        <w:tblW w:type="dxa" w:w="10800"/>
        <w:tblBorders>
          <w:top w:val="single" w:color="D6D2C8" w:sz="6"/>
          <w:left w:val="none"/>
          <w:bottom w:val="single" w:color="D6D2C8" w:sz="6"/>
          <w:right w:val="none"/>
          <w:insideH w:val="single" w:color="D6D2C8" w:sz="6"/>
          <w:insideV w:val="none"/>
        </w:tblBorders>
      </w:tblPr>
      <w:tblGrid>
        <w:gridCol w:w="2400"/>
        <w:gridCol w:w="8400"/>
      </w:tblGrid>
      <w:tr>
        <w:tc>
          <w:tcPr>
            <w:tcW w:type="dxa" w:w="2400"/>
            <w:tcMar>
              <w:top w:type="dxa" w:w="110"/>
              <w:left w:type="dxa" w:w="0"/>
              <w:bottom w:type="dxa" w:w="110"/>
              <w:right w:type="dxa" w:w="0"/>
            </w:tcMar>
          </w:tcPr>
          <w:p>
            <w:pPr>
              <w:spacing w:after="0" w:before="0"/>
            </w:pPr>
            <w:r>
              <w:rPr>
                <w:rFonts w:ascii="Calibri" w:cs="Calibri" w:eastAsia="Calibri" w:hAnsi="Calibri"/>
                <w:b/>
                <w:bCs/>
                <w:i w:val="false"/>
                <w:iCs w:val="false"/>
                <w:caps w:val="false"/>
                <w:color w:val="8A6A2B"/>
                <w:sz w:val="18"/>
                <w:szCs w:val="18"/>
              </w:rPr>
              <w:t xml:space="preserve">For the patients</w:t>
            </w:r>
          </w:p>
        </w:tc>
        <w:tc>
          <w:tcPr>
            <w:tcW w:type="dxa" w:w="8400"/>
            <w:tcMar>
              <w:top w:type="dxa" w:w="110"/>
              <w:left w:type="dxa" w:w="120"/>
              <w:bottom w:type="dxa" w:w="110"/>
              <w:right w:type="dxa" w:w="120"/>
            </w:tcMar>
          </w:tcPr>
          <w:p>
            <w:pPr>
              <w:spacing w:after="0" w:before="0"/>
            </w:pPr>
            <w:r>
              <w:rPr>
                <w:rFonts w:ascii="Calibri" w:cs="Calibri" w:eastAsia="Calibri" w:hAnsi="Calibri"/>
                <w:b w:val="false"/>
                <w:bCs w:val="false"/>
                <w:i w:val="false"/>
                <w:iCs w:val="false"/>
                <w:caps w:val="false"/>
                <w:color w:val="5E5E5E"/>
                <w:sz w:val="18"/>
                <w:szCs w:val="18"/>
              </w:rPr>
              <w:t xml:space="preserve">A say in something built for them, a day of play with their families, and a judging role that puts them in charge of the outcome. Distraction, agency and a story that is theirs.</w:t>
            </w:r>
          </w:p>
        </w:tc>
      </w:tr>
      <w:tr>
        <w:tc>
          <w:tcPr>
            <w:tcW w:type="dxa" w:w="2400"/>
            <w:tcMar>
              <w:top w:type="dxa" w:w="110"/>
              <w:left w:type="dxa" w:w="0"/>
              <w:bottom w:type="dxa" w:w="110"/>
              <w:right w:type="dxa" w:w="0"/>
            </w:tcMar>
          </w:tcPr>
          <w:p>
            <w:pPr>
              <w:spacing w:after="0" w:before="0"/>
            </w:pPr>
            <w:r>
              <w:rPr>
                <w:rFonts w:ascii="Calibri" w:cs="Calibri" w:eastAsia="Calibri" w:hAnsi="Calibri"/>
                <w:b/>
                <w:bCs/>
                <w:i w:val="false"/>
                <w:iCs w:val="false"/>
                <w:caps w:val="false"/>
                <w:color w:val="8A6A2B"/>
                <w:sz w:val="18"/>
                <w:szCs w:val="18"/>
              </w:rPr>
              <w:t xml:space="preserve">For the students</w:t>
            </w:r>
          </w:p>
        </w:tc>
        <w:tc>
          <w:tcPr>
            <w:tcW w:type="dxa" w:w="8400"/>
            <w:tcMar>
              <w:top w:type="dxa" w:w="110"/>
              <w:left w:type="dxa" w:w="120"/>
              <w:bottom w:type="dxa" w:w="110"/>
              <w:right w:type="dxa" w:w="120"/>
            </w:tcMar>
          </w:tcPr>
          <w:p>
            <w:pPr>
              <w:spacing w:after="0" w:before="0"/>
            </w:pPr>
            <w:r>
              <w:rPr>
                <w:rFonts w:ascii="Calibri" w:cs="Calibri" w:eastAsia="Calibri" w:hAnsi="Calibri"/>
                <w:b w:val="false"/>
                <w:bCs w:val="false"/>
                <w:i w:val="false"/>
                <w:iCs w:val="false"/>
                <w:caps w:val="false"/>
                <w:color w:val="5E5E5E"/>
                <w:sz w:val="18"/>
                <w:szCs w:val="18"/>
              </w:rPr>
              <w:t xml:space="preserve">A real client, a hard deadline, and a portfolio piece that went into service. For many it is the first time their work is played by the person who asked for it.</w:t>
            </w:r>
          </w:p>
        </w:tc>
      </w:tr>
      <w:tr>
        <w:tc>
          <w:tcPr>
            <w:tcW w:type="dxa" w:w="2400"/>
            <w:tcMar>
              <w:top w:type="dxa" w:w="110"/>
              <w:left w:type="dxa" w:w="0"/>
              <w:bottom w:type="dxa" w:w="110"/>
              <w:right w:type="dxa" w:w="0"/>
            </w:tcMar>
          </w:tcPr>
          <w:p>
            <w:pPr>
              <w:spacing w:after="0" w:before="0"/>
            </w:pPr>
            <w:r>
              <w:rPr>
                <w:rFonts w:ascii="Calibri" w:cs="Calibri" w:eastAsia="Calibri" w:hAnsi="Calibri"/>
                <w:b/>
                <w:bCs/>
                <w:i w:val="false"/>
                <w:iCs w:val="false"/>
                <w:caps w:val="false"/>
                <w:color w:val="8A6A2B"/>
                <w:sz w:val="18"/>
                <w:szCs w:val="18"/>
              </w:rPr>
              <w:t xml:space="preserve">For the Estate</w:t>
            </w:r>
          </w:p>
        </w:tc>
        <w:tc>
          <w:tcPr>
            <w:tcW w:type="dxa" w:w="8400"/>
            <w:tcMar>
              <w:top w:type="dxa" w:w="110"/>
              <w:left w:type="dxa" w:w="120"/>
              <w:bottom w:type="dxa" w:w="110"/>
              <w:right w:type="dxa" w:w="120"/>
            </w:tcMar>
          </w:tcPr>
          <w:p>
            <w:pPr>
              <w:spacing w:after="0" w:before="0"/>
            </w:pPr>
            <w:r>
              <w:rPr>
                <w:rFonts w:ascii="Calibri" w:cs="Calibri" w:eastAsia="Calibri" w:hAnsi="Calibri"/>
                <w:b w:val="false"/>
                <w:bCs w:val="false"/>
                <w:i w:val="false"/>
                <w:iCs w:val="false"/>
                <w:caps w:val="false"/>
                <w:color w:val="5E5E5E"/>
                <w:sz w:val="18"/>
                <w:szCs w:val="18"/>
              </w:rPr>
              <w:t xml:space="preserve">New content that works as both a Child Life tool and a way to teach the Estate’s own history — and a living extension of the founder’s intent for the place.</w:t>
            </w:r>
          </w:p>
        </w:tc>
      </w:tr>
      <w:tr>
        <w:tc>
          <w:tcPr>
            <w:tcW w:type="dxa" w:w="2400"/>
            <w:tcMar>
              <w:top w:type="dxa" w:w="110"/>
              <w:left w:type="dxa" w:w="0"/>
              <w:bottom w:type="dxa" w:w="110"/>
              <w:right w:type="dxa" w:w="0"/>
            </w:tcMar>
          </w:tcPr>
          <w:p>
            <w:pPr>
              <w:spacing w:after="0" w:before="0"/>
            </w:pPr>
            <w:r>
              <w:rPr>
                <w:rFonts w:ascii="Calibri" w:cs="Calibri" w:eastAsia="Calibri" w:hAnsi="Calibri"/>
                <w:b/>
                <w:bCs/>
                <w:i w:val="false"/>
                <w:iCs w:val="false"/>
                <w:caps w:val="false"/>
                <w:color w:val="8A6A2B"/>
                <w:sz w:val="18"/>
                <w:szCs w:val="18"/>
              </w:rPr>
              <w:t xml:space="preserve">For you</w:t>
            </w:r>
          </w:p>
        </w:tc>
        <w:tc>
          <w:tcPr>
            <w:tcW w:type="dxa" w:w="8400"/>
            <w:tcMar>
              <w:top w:type="dxa" w:w="110"/>
              <w:left w:type="dxa" w:w="120"/>
              <w:bottom w:type="dxa" w:w="110"/>
              <w:right w:type="dxa" w:w="120"/>
            </w:tcMar>
          </w:tcPr>
          <w:p>
            <w:pPr>
              <w:spacing w:after="0" w:before="0"/>
            </w:pPr>
            <w:r>
              <w:rPr>
                <w:rFonts w:ascii="Calibri" w:cs="Calibri" w:eastAsia="Calibri" w:hAnsi="Calibri"/>
                <w:b w:val="false"/>
                <w:bCs w:val="false"/>
                <w:i w:val="false"/>
                <w:iCs w:val="false"/>
                <w:caps w:val="false"/>
                <w:color w:val="5E5E5E"/>
                <w:sz w:val="18"/>
                <w:szCs w:val="18"/>
              </w:rPr>
              <w:t xml:space="preserve">Five students backed by name, in a first-of-its-kind event at the historic Nemours Estate, with a story worth telling.</w:t>
            </w:r>
          </w:p>
        </w:tc>
      </w:tr>
    </w:tbl>
    <w:p>
      <w:r>
        <w:br w:type="page"/>
      </w:r>
    </w:p>
    <w:p>
      <w:pPr>
        <w:spacing w:after="70" w:before="0"/>
      </w:pPr>
      <w:r>
        <w:rPr>
          <w:rFonts w:ascii="Calibri" w:cs="Calibri" w:eastAsia="Calibri" w:hAnsi="Calibri"/>
          <w:b/>
          <w:bCs/>
          <w:i w:val="false"/>
          <w:iCs w:val="false"/>
          <w:caps/>
          <w:color w:val="8A6A2B"/>
          <w:spacing w:val="24"/>
          <w:sz w:val="15"/>
          <w:szCs w:val="15"/>
        </w:rPr>
        <w:t xml:space="preserve">What sponsorship does</w:t>
      </w:r>
    </w:p>
    <w:p>
      <w:pPr>
        <w:spacing w:after="120" w:before="0"/>
      </w:pPr>
      <w:r>
        <w:rPr>
          <w:rFonts w:ascii="Calibri" w:cs="Calibri" w:eastAsia="Calibri" w:hAnsi="Calibri"/>
          <w:b/>
          <w:bCs/>
          <w:i w:val="false"/>
          <w:iCs w:val="false"/>
          <w:caps w:val="false"/>
          <w:color w:val="1A1A1A"/>
          <w:sz w:val="30"/>
          <w:szCs w:val="30"/>
        </w:rPr>
        <w:t xml:space="preserve">Adopt a team.</w:t>
      </w:r>
    </w:p>
    <w:p>
      <w:pPr>
        <w:spacing w:after="80" w:before="0"/>
      </w:pPr>
      <w:r>
        <w:rPr>
          <w:rFonts w:ascii="Calibri" w:cs="Calibri" w:eastAsia="Calibri" w:hAnsi="Calibri"/>
          <w:b w:val="false"/>
          <w:bCs w:val="false"/>
          <w:i w:val="false"/>
          <w:iCs w:val="false"/>
          <w:caps w:val="false"/>
          <w:color w:val="5E5E5E"/>
          <w:sz w:val="19"/>
          <w:szCs w:val="19"/>
        </w:rPr>
        <w:t xml:space="preserve">Each of the five teams is backed by a sponsor — a company, a foundation, or the student’s own school. The sponsor drives fundraising for that team, and the money raised goes to the patients and the students who are actually in the room. Every team is expected to raise a minimum of $200 by the end of the event.</w:t>
      </w:r>
    </w:p>
    <w:p>
      <w:pPr>
        <w:spacing w:after="150" w:before="0"/>
      </w:pPr>
      <w:r>
        <w:rPr>
          <w:rFonts w:ascii="Calibri" w:cs="Calibri" w:eastAsia="Calibri" w:hAnsi="Calibri"/>
          <w:b w:val="false"/>
          <w:bCs w:val="false"/>
          <w:i w:val="false"/>
          <w:iCs w:val="false"/>
          <w:caps w:val="false"/>
          <w:color w:val="5E5E5E"/>
          <w:sz w:val="19"/>
          <w:szCs w:val="19"/>
        </w:rPr>
        <w:t xml:space="preserve">Funds support Child Life gaming at the bedside and the scholarship fund, and cover the cost of running the event for the students — meals, equipment and on-site needs.</w:t>
      </w:r>
    </w:p>
    <w:p>
      <w:pPr>
        <w:spacing w:after="70" w:before="0"/>
      </w:pPr>
      <w:r>
        <w:rPr>
          <w:rFonts w:ascii="Calibri" w:cs="Calibri" w:eastAsia="Calibri" w:hAnsi="Calibri"/>
          <w:b/>
          <w:bCs/>
          <w:i w:val="false"/>
          <w:iCs w:val="false"/>
          <w:caps/>
          <w:color w:val="8A6A2B"/>
          <w:spacing w:val="24"/>
          <w:sz w:val="15"/>
          <w:szCs w:val="15"/>
        </w:rPr>
        <w:t xml:space="preserve">What you receive</w:t>
      </w:r>
    </w:p>
    <w:p>
      <w:pPr>
        <w:spacing w:after="58"/>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bCs/>
          <w:i w:val="false"/>
          <w:iCs w:val="false"/>
          <w:caps w:val="false"/>
          <w:color w:val="1A1A1A"/>
          <w:sz w:val="18"/>
          <w:szCs w:val="18"/>
        </w:rPr>
        <w:t xml:space="preserve">Named on the team · </w:t>
      </w:r>
      <w:r>
        <w:rPr>
          <w:rFonts w:ascii="Calibri" w:cs="Calibri" w:eastAsia="Calibri" w:hAnsi="Calibri"/>
          <w:b w:val="false"/>
          <w:bCs w:val="false"/>
          <w:i w:val="false"/>
          <w:iCs w:val="false"/>
          <w:caps w:val="false"/>
          <w:color w:val="5E5E5E"/>
          <w:sz w:val="18"/>
          <w:szCs w:val="18"/>
        </w:rPr>
        <w:t xml:space="preserve">Your name carried on that team’s materials through the week and on the event livestream.</w:t>
      </w:r>
    </w:p>
    <w:p>
      <w:pPr>
        <w:spacing w:after="58"/>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bCs/>
          <w:i w:val="false"/>
          <w:iCs w:val="false"/>
          <w:caps w:val="false"/>
          <w:color w:val="1A1A1A"/>
          <w:sz w:val="18"/>
          <w:szCs w:val="18"/>
        </w:rPr>
        <w:t xml:space="preserve">Meet the team · </w:t>
      </w:r>
      <w:r>
        <w:rPr>
          <w:rFonts w:ascii="Calibri" w:cs="Calibri" w:eastAsia="Calibri" w:hAnsi="Calibri"/>
          <w:b w:val="false"/>
          <w:bCs w:val="false"/>
          <w:i w:val="false"/>
          <w:iCs w:val="false"/>
          <w:caps w:val="false"/>
          <w:color w:val="5E5E5E"/>
          <w:sz w:val="18"/>
          <w:szCs w:val="18"/>
        </w:rPr>
        <w:t xml:space="preserve">A meet-the-team session and photograph with the five students you are backing.</w:t>
      </w:r>
    </w:p>
    <w:p>
      <w:pPr>
        <w:spacing w:after="58"/>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bCs/>
          <w:i w:val="false"/>
          <w:iCs w:val="false"/>
          <w:caps w:val="false"/>
          <w:color w:val="1A1A1A"/>
          <w:sz w:val="18"/>
          <w:szCs w:val="18"/>
        </w:rPr>
        <w:t xml:space="preserve">In the credits · </w:t>
      </w:r>
      <w:r>
        <w:rPr>
          <w:rFonts w:ascii="Calibri" w:cs="Calibri" w:eastAsia="Calibri" w:hAnsi="Calibri"/>
          <w:b w:val="false"/>
          <w:bCs w:val="false"/>
          <w:i w:val="false"/>
          <w:iCs w:val="false"/>
          <w:caps w:val="false"/>
          <w:color w:val="5E5E5E"/>
          <w:sz w:val="18"/>
          <w:szCs w:val="18"/>
        </w:rPr>
        <w:t xml:space="preserve">Recognition in the credits of a game that stays in service at the bedside long after the week.</w:t>
      </w:r>
    </w:p>
    <w:p>
      <w:pPr>
        <w:spacing w:after="58"/>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bCs/>
          <w:i w:val="false"/>
          <w:iCs w:val="false"/>
          <w:caps w:val="false"/>
          <w:color w:val="1A1A1A"/>
          <w:sz w:val="18"/>
          <w:szCs w:val="18"/>
        </w:rPr>
        <w:t xml:space="preserve">Coverage · </w:t>
      </w:r>
      <w:r>
        <w:rPr>
          <w:rFonts w:ascii="Calibri" w:cs="Calibri" w:eastAsia="Calibri" w:hAnsi="Calibri"/>
          <w:b w:val="false"/>
          <w:bCs w:val="false"/>
          <w:i w:val="false"/>
          <w:iCs w:val="false"/>
          <w:caps w:val="false"/>
          <w:color w:val="5E5E5E"/>
          <w:sz w:val="18"/>
          <w:szCs w:val="18"/>
        </w:rPr>
        <w:t xml:space="preserve">Inclusion in event communications and press around a first-of-its-kind event at the Estate.</w:t>
      </w:r>
    </w:p>
    <w:p>
      <w:pPr>
        <w:spacing w:after="58"/>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bCs/>
          <w:i w:val="false"/>
          <w:iCs w:val="false"/>
          <w:caps w:val="false"/>
          <w:color w:val="1A1A1A"/>
          <w:sz w:val="18"/>
          <w:szCs w:val="18"/>
        </w:rPr>
        <w:t xml:space="preserve">In-kind welcome · </w:t>
      </w:r>
      <w:r>
        <w:rPr>
          <w:rFonts w:ascii="Calibri" w:cs="Calibri" w:eastAsia="Calibri" w:hAnsi="Calibri"/>
          <w:b w:val="false"/>
          <w:bCs w:val="false"/>
          <w:i w:val="false"/>
          <w:iCs w:val="false"/>
          <w:caps w:val="false"/>
          <w:color w:val="5E5E5E"/>
          <w:sz w:val="18"/>
          <w:szCs w:val="18"/>
        </w:rPr>
        <w:t xml:space="preserve">Hardware, engine and software licences, or mentors — in place of or alongside a cash contribution.</w:t>
      </w:r>
    </w:p>
    <w:p>
      <w:pPr>
        <w:spacing w:after="20" w:before="180"/>
      </w:pPr>
      <w:r>
        <w:rPr>
          <w:rFonts w:ascii="Calibri" w:cs="Calibri" w:eastAsia="Calibri" w:hAnsi="Calibri"/>
          <w:b/>
          <w:bCs/>
          <w:i w:val="false"/>
          <w:iCs w:val="false"/>
          <w:caps w:val="false"/>
          <w:color w:val="1A1A1A"/>
          <w:sz w:val="19"/>
          <w:szCs w:val="19"/>
        </w:rPr>
        <w:t xml:space="preserve">Sample levels</w:t>
      </w:r>
    </w:p>
    <w:p>
      <w:pPr>
        <w:spacing w:after="90" w:before="0"/>
      </w:pPr>
      <w:r>
        <w:rPr>
          <w:rFonts w:ascii="Calibri" w:cs="Calibri" w:eastAsia="Calibri" w:hAnsi="Calibri"/>
          <w:b w:val="false"/>
          <w:bCs w:val="false"/>
          <w:i w:val="false"/>
          <w:iCs w:val="false"/>
          <w:caps w:val="false"/>
          <w:color w:val="7A7A7A"/>
          <w:sz w:val="16"/>
          <w:szCs w:val="16"/>
        </w:rPr>
        <w:t xml:space="preserve">Structure shown for discussion. Amounts are placeholders and have not been set.</w:t>
      </w:r>
    </w:p>
    <w:tbl>
      <w:tblPr>
        <w:tblW w:type="dxa" w:w="10800"/>
        <w:tblBorders>
          <w:top w:val="single" w:color="C9C4B8" w:sz="6"/>
          <w:left w:val="single" w:color="C9C4B8" w:sz="6"/>
          <w:bottom w:val="single" w:color="C9C4B8" w:sz="6"/>
          <w:right w:val="single" w:color="C9C4B8" w:sz="6"/>
          <w:insideH w:val="single" w:color="D6D2C8" w:sz="4"/>
          <w:insideV w:val="single" w:color="D6D2C8" w:sz="4"/>
        </w:tblBorders>
      </w:tblPr>
      <w:tblGrid>
        <w:gridCol w:w="2100"/>
        <w:gridCol w:w="2100"/>
        <w:gridCol w:w="6600"/>
      </w:tblGrid>
      <w:tr>
        <w:trPr>
          <w:tblHeader/>
        </w:trPr>
        <w:tc>
          <w:tcPr>
            <w:tcW w:type="dxa" w:w="2100"/>
            <w:shd w:fill="F4F1EA" w:color="auto" w:val="clear"/>
            <w:tcMar>
              <w:top w:type="dxa" w:w="90"/>
              <w:left w:type="dxa" w:w="120"/>
              <w:bottom w:type="dxa" w:w="90"/>
              <w:right w:type="dxa" w:w="120"/>
            </w:tcMar>
          </w:tcPr>
          <w:p>
            <w:pPr>
              <w:spacing w:after="0" w:before="0"/>
            </w:pPr>
            <w:r>
              <w:rPr>
                <w:rFonts w:ascii="Calibri" w:cs="Calibri" w:eastAsia="Calibri" w:hAnsi="Calibri"/>
                <w:b/>
                <w:bCs/>
                <w:i w:val="false"/>
                <w:iCs w:val="false"/>
                <w:caps/>
                <w:color w:val="1A1A1A"/>
                <w:spacing w:val="16"/>
                <w:sz w:val="16"/>
                <w:szCs w:val="16"/>
              </w:rPr>
              <w:t xml:space="preserve">Level</w:t>
            </w:r>
          </w:p>
        </w:tc>
        <w:tc>
          <w:tcPr>
            <w:tcW w:type="dxa" w:w="2100"/>
            <w:shd w:fill="F4F1EA" w:color="auto" w:val="clear"/>
            <w:tcMar>
              <w:top w:type="dxa" w:w="90"/>
              <w:left w:type="dxa" w:w="120"/>
              <w:bottom w:type="dxa" w:w="90"/>
              <w:right w:type="dxa" w:w="120"/>
            </w:tcMar>
          </w:tcPr>
          <w:p>
            <w:pPr>
              <w:spacing w:after="0" w:before="0"/>
            </w:pPr>
            <w:r>
              <w:rPr>
                <w:rFonts w:ascii="Calibri" w:cs="Calibri" w:eastAsia="Calibri" w:hAnsi="Calibri"/>
                <w:b/>
                <w:bCs/>
                <w:i w:val="false"/>
                <w:iCs w:val="false"/>
                <w:caps/>
                <w:color w:val="1A1A1A"/>
                <w:spacing w:val="16"/>
                <w:sz w:val="16"/>
                <w:szCs w:val="16"/>
              </w:rPr>
              <w:t xml:space="preserve">Contribution</w:t>
            </w:r>
          </w:p>
        </w:tc>
        <w:tc>
          <w:tcPr>
            <w:tcW w:type="dxa" w:w="6600"/>
            <w:shd w:fill="F4F1EA" w:color="auto" w:val="clear"/>
            <w:tcMar>
              <w:top w:type="dxa" w:w="90"/>
              <w:left w:type="dxa" w:w="120"/>
              <w:bottom w:type="dxa" w:w="90"/>
              <w:right w:type="dxa" w:w="120"/>
            </w:tcMar>
          </w:tcPr>
          <w:p>
            <w:pPr>
              <w:spacing w:after="0" w:before="0"/>
            </w:pPr>
            <w:r>
              <w:rPr>
                <w:rFonts w:ascii="Calibri" w:cs="Calibri" w:eastAsia="Calibri" w:hAnsi="Calibri"/>
                <w:b/>
                <w:bCs/>
                <w:i w:val="false"/>
                <w:iCs w:val="false"/>
                <w:caps/>
                <w:color w:val="1A1A1A"/>
                <w:spacing w:val="16"/>
                <w:sz w:val="16"/>
                <w:szCs w:val="16"/>
              </w:rPr>
              <w:t xml:space="preserve">Includes</w:t>
            </w:r>
          </w:p>
        </w:tc>
      </w:tr>
      <w:tr>
        <w:tc>
          <w:tcPr>
            <w:tcW w:type="dxa" w:w="2100"/>
            <w:tcMar>
              <w:top w:type="dxa" w:w="100"/>
              <w:left w:type="dxa" w:w="120"/>
              <w:bottom w:type="dxa" w:w="100"/>
              <w:right w:type="dxa" w:w="120"/>
            </w:tcMar>
          </w:tcPr>
          <w:p>
            <w:pPr>
              <w:spacing w:after="0" w:before="0"/>
            </w:pPr>
            <w:r>
              <w:rPr>
                <w:rFonts w:ascii="Calibri" w:cs="Calibri" w:eastAsia="Calibri" w:hAnsi="Calibri"/>
                <w:b/>
                <w:bCs/>
                <w:i w:val="false"/>
                <w:iCs w:val="false"/>
                <w:caps w:val="false"/>
                <w:color w:val="1A1A1A"/>
                <w:sz w:val="17"/>
                <w:szCs w:val="17"/>
              </w:rPr>
              <w:t xml:space="preserve">Team Sponsor</w:t>
            </w:r>
          </w:p>
        </w:tc>
        <w:tc>
          <w:tcPr>
            <w:tcW w:type="dxa" w:w="21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1A1A1A"/>
                <w:sz w:val="17"/>
                <w:szCs w:val="17"/>
              </w:rPr>
              <w:t xml:space="preserve">[$10,000]</w:t>
            </w:r>
          </w:p>
        </w:tc>
        <w:tc>
          <w:tcPr>
            <w:tcW w:type="dxa" w:w="66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5E5E5E"/>
                <w:sz w:val="17"/>
                <w:szCs w:val="17"/>
              </w:rPr>
              <w:t xml:space="preserve">Sole backing of one of the five teams — everything above, plus your name paired with that team throughout the week and on the awards broadcast.</w:t>
            </w:r>
          </w:p>
        </w:tc>
      </w:tr>
      <w:tr>
        <w:tc>
          <w:tcPr>
            <w:tcW w:type="dxa" w:w="2100"/>
            <w:tcMar>
              <w:top w:type="dxa" w:w="100"/>
              <w:left w:type="dxa" w:w="120"/>
              <w:bottom w:type="dxa" w:w="100"/>
              <w:right w:type="dxa" w:w="120"/>
            </w:tcMar>
          </w:tcPr>
          <w:p>
            <w:pPr>
              <w:spacing w:after="0" w:before="0"/>
            </w:pPr>
            <w:r>
              <w:rPr>
                <w:rFonts w:ascii="Calibri" w:cs="Calibri" w:eastAsia="Calibri" w:hAnsi="Calibri"/>
                <w:b/>
                <w:bCs/>
                <w:i w:val="false"/>
                <w:iCs w:val="false"/>
                <w:caps w:val="false"/>
                <w:color w:val="1A1A1A"/>
                <w:sz w:val="17"/>
                <w:szCs w:val="17"/>
              </w:rPr>
              <w:t xml:space="preserve">Supporting</w:t>
            </w:r>
          </w:p>
        </w:tc>
        <w:tc>
          <w:tcPr>
            <w:tcW w:type="dxa" w:w="21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1A1A1A"/>
                <w:sz w:val="17"/>
                <w:szCs w:val="17"/>
              </w:rPr>
              <w:t xml:space="preserve">[$5,000]</w:t>
            </w:r>
          </w:p>
        </w:tc>
        <w:tc>
          <w:tcPr>
            <w:tcW w:type="dxa" w:w="66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5E5E5E"/>
                <w:sz w:val="17"/>
                <w:szCs w:val="17"/>
              </w:rPr>
              <w:t xml:space="preserve">Named on team materials and the livestream, meet-the-team session, credits, event communications.</w:t>
            </w:r>
          </w:p>
        </w:tc>
      </w:tr>
      <w:tr>
        <w:tc>
          <w:tcPr>
            <w:tcW w:type="dxa" w:w="2100"/>
            <w:tcMar>
              <w:top w:type="dxa" w:w="100"/>
              <w:left w:type="dxa" w:w="120"/>
              <w:bottom w:type="dxa" w:w="100"/>
              <w:right w:type="dxa" w:w="120"/>
            </w:tcMar>
          </w:tcPr>
          <w:p>
            <w:pPr>
              <w:spacing w:after="0" w:before="0"/>
            </w:pPr>
            <w:r>
              <w:rPr>
                <w:rFonts w:ascii="Calibri" w:cs="Calibri" w:eastAsia="Calibri" w:hAnsi="Calibri"/>
                <w:b/>
                <w:bCs/>
                <w:i w:val="false"/>
                <w:iCs w:val="false"/>
                <w:caps w:val="false"/>
                <w:color w:val="1A1A1A"/>
                <w:sz w:val="17"/>
                <w:szCs w:val="17"/>
              </w:rPr>
              <w:t xml:space="preserve">Contributing</w:t>
            </w:r>
          </w:p>
        </w:tc>
        <w:tc>
          <w:tcPr>
            <w:tcW w:type="dxa" w:w="21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1A1A1A"/>
                <w:sz w:val="17"/>
                <w:szCs w:val="17"/>
              </w:rPr>
              <w:t xml:space="preserve">[$1,000]</w:t>
            </w:r>
          </w:p>
        </w:tc>
        <w:tc>
          <w:tcPr>
            <w:tcW w:type="dxa" w:w="66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5E5E5E"/>
                <w:sz w:val="17"/>
                <w:szCs w:val="17"/>
              </w:rPr>
              <w:t xml:space="preserve">Named on event materials and in the credits.</w:t>
            </w:r>
          </w:p>
        </w:tc>
      </w:tr>
      <w:tr>
        <w:tc>
          <w:tcPr>
            <w:tcW w:type="dxa" w:w="2100"/>
            <w:tcMar>
              <w:top w:type="dxa" w:w="100"/>
              <w:left w:type="dxa" w:w="120"/>
              <w:bottom w:type="dxa" w:w="100"/>
              <w:right w:type="dxa" w:w="120"/>
            </w:tcMar>
          </w:tcPr>
          <w:p>
            <w:pPr>
              <w:spacing w:after="0" w:before="0"/>
            </w:pPr>
            <w:r>
              <w:rPr>
                <w:rFonts w:ascii="Calibri" w:cs="Calibri" w:eastAsia="Calibri" w:hAnsi="Calibri"/>
                <w:b/>
                <w:bCs/>
                <w:i w:val="false"/>
                <w:iCs w:val="false"/>
                <w:caps w:val="false"/>
                <w:color w:val="1A1A1A"/>
                <w:sz w:val="17"/>
                <w:szCs w:val="17"/>
              </w:rPr>
              <w:t xml:space="preserve">In-kind</w:t>
            </w:r>
          </w:p>
        </w:tc>
        <w:tc>
          <w:tcPr>
            <w:tcW w:type="dxa" w:w="21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1A1A1A"/>
                <w:sz w:val="17"/>
                <w:szCs w:val="17"/>
              </w:rPr>
              <w:t xml:space="preserve">By arrangement</w:t>
            </w:r>
          </w:p>
        </w:tc>
        <w:tc>
          <w:tcPr>
            <w:tcW w:type="dxa" w:w="6600"/>
            <w:tcMar>
              <w:top w:type="dxa" w:w="100"/>
              <w:left w:type="dxa" w:w="120"/>
              <w:bottom w:type="dxa" w:w="100"/>
              <w:right w:type="dxa" w:w="120"/>
            </w:tcMar>
          </w:tcPr>
          <w:p>
            <w:pPr>
              <w:spacing w:after="0" w:before="0"/>
            </w:pPr>
            <w:r>
              <w:rPr>
                <w:rFonts w:ascii="Calibri" w:cs="Calibri" w:eastAsia="Calibri" w:hAnsi="Calibri"/>
                <w:b w:val="false"/>
                <w:bCs w:val="false"/>
                <w:i w:val="false"/>
                <w:iCs w:val="false"/>
                <w:caps w:val="false"/>
                <w:color w:val="5E5E5E"/>
                <w:sz w:val="17"/>
                <w:szCs w:val="17"/>
              </w:rPr>
              <w:t xml:space="preserve">Hardware, licences, or mentor time. Recognition matched to the value contributed.</w:t>
            </w:r>
          </w:p>
        </w:tc>
      </w:tr>
    </w:tbl>
    <w:p>
      <w:r>
        <w:br w:type="page"/>
      </w:r>
    </w:p>
    <w:p>
      <w:pPr>
        <w:spacing w:after="70" w:before="0"/>
      </w:pPr>
      <w:r>
        <w:rPr>
          <w:rFonts w:ascii="Calibri" w:cs="Calibri" w:eastAsia="Calibri" w:hAnsi="Calibri"/>
          <w:b/>
          <w:bCs/>
          <w:i w:val="false"/>
          <w:iCs w:val="false"/>
          <w:caps/>
          <w:color w:val="8A6A2B"/>
          <w:spacing w:val="24"/>
          <w:sz w:val="15"/>
          <w:szCs w:val="15"/>
        </w:rPr>
        <w:t xml:space="preserve">The week</w:t>
      </w:r>
    </w:p>
    <w:p>
      <w:pPr>
        <w:spacing w:after="130" w:before="0"/>
      </w:pPr>
      <w:r>
        <w:rPr>
          <w:rFonts w:ascii="Calibri" w:cs="Calibri" w:eastAsia="Calibri" w:hAnsi="Calibri"/>
          <w:b/>
          <w:bCs/>
          <w:i w:val="false"/>
          <w:iCs w:val="false"/>
          <w:caps w:val="false"/>
          <w:color w:val="1A1A1A"/>
          <w:sz w:val="28"/>
          <w:szCs w:val="28"/>
        </w:rPr>
        <w:t xml:space="preserve">What your team is doing, day by day.</w:t>
      </w:r>
    </w:p>
    <w:tbl>
      <w:tblPr>
        <w:tblW w:type="dxa" w:w="10800"/>
        <w:tblBorders>
          <w:top w:val="single" w:color="D6D2C8" w:sz="6"/>
          <w:left w:val="none"/>
          <w:bottom w:val="single" w:color="D6D2C8" w:sz="6"/>
          <w:right w:val="none"/>
          <w:insideH w:val="single" w:color="D6D2C8" w:sz="4"/>
          <w:insideV w:val="none"/>
        </w:tblBorders>
      </w:tblPr>
      <w:tblGrid>
        <w:gridCol w:w="1700"/>
        <w:gridCol w:w="2600"/>
        <w:gridCol w:w="6500"/>
      </w:tblGrid>
      <w:tr>
        <w:tc>
          <w:tcPr>
            <w:tcW w:type="dxa" w:w="1700"/>
            <w:tcMar>
              <w:top w:type="dxa" w:w="95"/>
              <w:left w:type="dxa" w:w="0"/>
              <w:bottom w:type="dxa" w:w="95"/>
              <w:right w:type="dxa" w:w="0"/>
            </w:tcMar>
          </w:tcPr>
          <w:p>
            <w:pPr>
              <w:spacing w:after="0" w:before="0"/>
            </w:pPr>
            <w:r>
              <w:rPr>
                <w:rFonts w:ascii="Calibri" w:cs="Calibri" w:eastAsia="Calibri" w:hAnsi="Calibri"/>
                <w:b/>
                <w:bCs/>
                <w:i w:val="false"/>
                <w:iCs w:val="false"/>
                <w:caps/>
                <w:color w:val="8A6A2B"/>
                <w:spacing w:val="14"/>
                <w:sz w:val="16"/>
                <w:szCs w:val="16"/>
              </w:rPr>
              <w:t xml:space="preserve">Sun 4 Apr</w:t>
            </w:r>
          </w:p>
        </w:tc>
        <w:tc>
          <w:tcPr>
            <w:tcW w:type="dxa" w:w="2600"/>
            <w:tcMar>
              <w:top w:type="dxa" w:w="95"/>
              <w:left w:type="dxa" w:w="100"/>
              <w:bottom w:type="dxa" w:w="95"/>
              <w:right w:type="dxa" w:w="100"/>
            </w:tcMar>
          </w:tcPr>
          <w:p>
            <w:pPr>
              <w:spacing w:after="0" w:before="0"/>
            </w:pPr>
            <w:r>
              <w:rPr>
                <w:rFonts w:ascii="Calibri" w:cs="Calibri" w:eastAsia="Calibri" w:hAnsi="Calibri"/>
                <w:b/>
                <w:bCs/>
                <w:i w:val="false"/>
                <w:iCs w:val="false"/>
                <w:caps w:val="false"/>
                <w:color w:val="1A1A1A"/>
                <w:sz w:val="18"/>
                <w:szCs w:val="18"/>
              </w:rPr>
              <w:t xml:space="preserve">Arrival and the prompt</w:t>
            </w:r>
          </w:p>
        </w:tc>
        <w:tc>
          <w:tcPr>
            <w:tcW w:type="dxa" w:w="6500"/>
            <w:tcMar>
              <w:top w:type="dxa" w:w="95"/>
              <w:left w:type="dxa" w:w="100"/>
              <w:bottom w:type="dxa" w:w="95"/>
              <w:right w:type="dxa" w:w="100"/>
            </w:tcMar>
          </w:tcPr>
          <w:p>
            <w:pPr>
              <w:spacing w:after="0" w:before="0"/>
            </w:pPr>
            <w:r>
              <w:rPr>
                <w:rFonts w:ascii="Calibri" w:cs="Calibri" w:eastAsia="Calibri" w:hAnsi="Calibri"/>
                <w:b w:val="false"/>
                <w:bCs w:val="false"/>
                <w:i w:val="false"/>
                <w:iCs w:val="false"/>
                <w:caps w:val="false"/>
                <w:color w:val="5E5E5E"/>
                <w:sz w:val="17"/>
                <w:szCs w:val="17"/>
              </w:rPr>
              <w:t xml:space="preserve">Estate tour, and the teams meet the patients who wrote their brief. The prompt is revealed around 5pm.</w:t>
            </w:r>
          </w:p>
        </w:tc>
      </w:tr>
      <w:tr>
        <w:tc>
          <w:tcPr>
            <w:tcW w:type="dxa" w:w="1700"/>
            <w:tcMar>
              <w:top w:type="dxa" w:w="95"/>
              <w:left w:type="dxa" w:w="0"/>
              <w:bottom w:type="dxa" w:w="95"/>
              <w:right w:type="dxa" w:w="0"/>
            </w:tcMar>
          </w:tcPr>
          <w:p>
            <w:pPr>
              <w:spacing w:after="0" w:before="0"/>
            </w:pPr>
            <w:r>
              <w:rPr>
                <w:rFonts w:ascii="Calibri" w:cs="Calibri" w:eastAsia="Calibri" w:hAnsi="Calibri"/>
                <w:b/>
                <w:bCs/>
                <w:i w:val="false"/>
                <w:iCs w:val="false"/>
                <w:caps/>
                <w:color w:val="8A6A2B"/>
                <w:spacing w:val="14"/>
                <w:sz w:val="16"/>
                <w:szCs w:val="16"/>
              </w:rPr>
              <w:t xml:space="preserve">Mon 5 Apr</w:t>
            </w:r>
          </w:p>
        </w:tc>
        <w:tc>
          <w:tcPr>
            <w:tcW w:type="dxa" w:w="2600"/>
            <w:tcMar>
              <w:top w:type="dxa" w:w="95"/>
              <w:left w:type="dxa" w:w="100"/>
              <w:bottom w:type="dxa" w:w="95"/>
              <w:right w:type="dxa" w:w="100"/>
            </w:tcMar>
          </w:tcPr>
          <w:p>
            <w:pPr>
              <w:spacing w:after="0" w:before="0"/>
            </w:pPr>
            <w:r>
              <w:rPr>
                <w:rFonts w:ascii="Calibri" w:cs="Calibri" w:eastAsia="Calibri" w:hAnsi="Calibri"/>
                <w:b/>
                <w:bCs/>
                <w:i w:val="false"/>
                <w:iCs w:val="false"/>
                <w:caps w:val="false"/>
                <w:color w:val="1A1A1A"/>
                <w:sz w:val="18"/>
                <w:szCs w:val="18"/>
              </w:rPr>
              <w:t xml:space="preserve">Build day 1</w:t>
            </w:r>
          </w:p>
        </w:tc>
        <w:tc>
          <w:tcPr>
            <w:tcW w:type="dxa" w:w="6500"/>
            <w:tcMar>
              <w:top w:type="dxa" w:w="95"/>
              <w:left w:type="dxa" w:w="100"/>
              <w:bottom w:type="dxa" w:w="95"/>
              <w:right w:type="dxa" w:w="100"/>
            </w:tcMar>
          </w:tcPr>
          <w:p>
            <w:pPr>
              <w:spacing w:after="0" w:before="0"/>
            </w:pPr>
            <w:r>
              <w:rPr>
                <w:rFonts w:ascii="Calibri" w:cs="Calibri" w:eastAsia="Calibri" w:hAnsi="Calibri"/>
                <w:b w:val="false"/>
                <w:bCs w:val="false"/>
                <w:i w:val="false"/>
                <w:iCs w:val="false"/>
                <w:caps w:val="false"/>
                <w:color w:val="5E5E5E"/>
                <w:sz w:val="17"/>
                <w:szCs w:val="17"/>
              </w:rPr>
              <w:t xml:space="preserve">Concept and mechanics settled, asset production starts. Two check-ins.</w:t>
            </w:r>
          </w:p>
        </w:tc>
      </w:tr>
      <w:tr>
        <w:tc>
          <w:tcPr>
            <w:tcW w:type="dxa" w:w="1700"/>
            <w:tcMar>
              <w:top w:type="dxa" w:w="95"/>
              <w:left w:type="dxa" w:w="0"/>
              <w:bottom w:type="dxa" w:w="95"/>
              <w:right w:type="dxa" w:w="0"/>
            </w:tcMar>
          </w:tcPr>
          <w:p>
            <w:pPr>
              <w:spacing w:after="0" w:before="0"/>
            </w:pPr>
            <w:r>
              <w:rPr>
                <w:rFonts w:ascii="Calibri" w:cs="Calibri" w:eastAsia="Calibri" w:hAnsi="Calibri"/>
                <w:b/>
                <w:bCs/>
                <w:i w:val="false"/>
                <w:iCs w:val="false"/>
                <w:caps/>
                <w:color w:val="8A6A2B"/>
                <w:spacing w:val="14"/>
                <w:sz w:val="16"/>
                <w:szCs w:val="16"/>
              </w:rPr>
              <w:t xml:space="preserve">Tue 6 Apr</w:t>
            </w:r>
          </w:p>
        </w:tc>
        <w:tc>
          <w:tcPr>
            <w:tcW w:type="dxa" w:w="2600"/>
            <w:tcMar>
              <w:top w:type="dxa" w:w="95"/>
              <w:left w:type="dxa" w:w="100"/>
              <w:bottom w:type="dxa" w:w="95"/>
              <w:right w:type="dxa" w:w="100"/>
            </w:tcMar>
          </w:tcPr>
          <w:p>
            <w:pPr>
              <w:spacing w:after="0" w:before="0"/>
            </w:pPr>
            <w:r>
              <w:rPr>
                <w:rFonts w:ascii="Calibri" w:cs="Calibri" w:eastAsia="Calibri" w:hAnsi="Calibri"/>
                <w:b/>
                <w:bCs/>
                <w:i w:val="false"/>
                <w:iCs w:val="false"/>
                <w:caps w:val="false"/>
                <w:color w:val="1A1A1A"/>
                <w:sz w:val="18"/>
                <w:szCs w:val="18"/>
              </w:rPr>
              <w:t xml:space="preserve">Build day 2</w:t>
            </w:r>
          </w:p>
        </w:tc>
        <w:tc>
          <w:tcPr>
            <w:tcW w:type="dxa" w:w="6500"/>
            <w:tcMar>
              <w:top w:type="dxa" w:w="95"/>
              <w:left w:type="dxa" w:w="100"/>
              <w:bottom w:type="dxa" w:w="95"/>
              <w:right w:type="dxa" w:w="100"/>
            </w:tcMar>
          </w:tcPr>
          <w:p>
            <w:pPr>
              <w:spacing w:after="0" w:before="0"/>
            </w:pPr>
            <w:r>
              <w:rPr>
                <w:rFonts w:ascii="Calibri" w:cs="Calibri" w:eastAsia="Calibri" w:hAnsi="Calibri"/>
                <w:b w:val="false"/>
                <w:bCs w:val="false"/>
                <w:i w:val="false"/>
                <w:iCs w:val="false"/>
                <w:caps w:val="false"/>
                <w:color w:val="5E5E5E"/>
                <w:sz w:val="17"/>
                <w:szCs w:val="17"/>
              </w:rPr>
              <w:t xml:space="preserve">Full build day. Two check-ins.</w:t>
            </w:r>
          </w:p>
        </w:tc>
      </w:tr>
      <w:tr>
        <w:tc>
          <w:tcPr>
            <w:tcW w:type="dxa" w:w="1700"/>
            <w:tcMar>
              <w:top w:type="dxa" w:w="95"/>
              <w:left w:type="dxa" w:w="0"/>
              <w:bottom w:type="dxa" w:w="95"/>
              <w:right w:type="dxa" w:w="0"/>
            </w:tcMar>
          </w:tcPr>
          <w:p>
            <w:pPr>
              <w:spacing w:after="0" w:before="0"/>
            </w:pPr>
            <w:r>
              <w:rPr>
                <w:rFonts w:ascii="Calibri" w:cs="Calibri" w:eastAsia="Calibri" w:hAnsi="Calibri"/>
                <w:b/>
                <w:bCs/>
                <w:i w:val="false"/>
                <w:iCs w:val="false"/>
                <w:caps/>
                <w:color w:val="8A6A2B"/>
                <w:spacing w:val="14"/>
                <w:sz w:val="16"/>
                <w:szCs w:val="16"/>
              </w:rPr>
              <w:t xml:space="preserve">Wed 7 Apr</w:t>
            </w:r>
          </w:p>
        </w:tc>
        <w:tc>
          <w:tcPr>
            <w:tcW w:type="dxa" w:w="2600"/>
            <w:tcMar>
              <w:top w:type="dxa" w:w="95"/>
              <w:left w:type="dxa" w:w="100"/>
              <w:bottom w:type="dxa" w:w="95"/>
              <w:right w:type="dxa" w:w="100"/>
            </w:tcMar>
          </w:tcPr>
          <w:p>
            <w:pPr>
              <w:spacing w:after="0" w:before="0"/>
            </w:pPr>
            <w:r>
              <w:rPr>
                <w:rFonts w:ascii="Calibri" w:cs="Calibri" w:eastAsia="Calibri" w:hAnsi="Calibri"/>
                <w:b/>
                <w:bCs/>
                <w:i w:val="false"/>
                <w:iCs w:val="false"/>
                <w:caps w:val="false"/>
                <w:color w:val="1A1A1A"/>
                <w:sz w:val="18"/>
                <w:szCs w:val="18"/>
              </w:rPr>
              <w:t xml:space="preserve">Build day 3</w:t>
            </w:r>
          </w:p>
        </w:tc>
        <w:tc>
          <w:tcPr>
            <w:tcW w:type="dxa" w:w="6500"/>
            <w:tcMar>
              <w:top w:type="dxa" w:w="95"/>
              <w:left w:type="dxa" w:w="100"/>
              <w:bottom w:type="dxa" w:w="95"/>
              <w:right w:type="dxa" w:w="100"/>
            </w:tcMar>
          </w:tcPr>
          <w:p>
            <w:pPr>
              <w:spacing w:after="0" w:before="0"/>
            </w:pPr>
            <w:r>
              <w:rPr>
                <w:rFonts w:ascii="Calibri" w:cs="Calibri" w:eastAsia="Calibri" w:hAnsi="Calibri"/>
                <w:b w:val="false"/>
                <w:bCs w:val="false"/>
                <w:i w:val="false"/>
                <w:iCs w:val="false"/>
                <w:caps w:val="false"/>
                <w:color w:val="5E5E5E"/>
                <w:sz w:val="17"/>
                <w:szCs w:val="17"/>
              </w:rPr>
              <w:t xml:space="preserve">Last build day, two check-ins, and final builds due at 5pm.</w:t>
            </w:r>
          </w:p>
        </w:tc>
      </w:tr>
      <w:tr>
        <w:tc>
          <w:tcPr>
            <w:tcW w:type="dxa" w:w="1700"/>
            <w:tcMar>
              <w:top w:type="dxa" w:w="95"/>
              <w:left w:type="dxa" w:w="0"/>
              <w:bottom w:type="dxa" w:w="95"/>
              <w:right w:type="dxa" w:w="0"/>
            </w:tcMar>
          </w:tcPr>
          <w:p>
            <w:pPr>
              <w:spacing w:after="0" w:before="0"/>
            </w:pPr>
            <w:r>
              <w:rPr>
                <w:rFonts w:ascii="Calibri" w:cs="Calibri" w:eastAsia="Calibri" w:hAnsi="Calibri"/>
                <w:b/>
                <w:bCs/>
                <w:i w:val="false"/>
                <w:iCs w:val="false"/>
                <w:caps/>
                <w:color w:val="8A6A2B"/>
                <w:spacing w:val="14"/>
                <w:sz w:val="16"/>
                <w:szCs w:val="16"/>
              </w:rPr>
              <w:t xml:space="preserve">Thu 8 Apr</w:t>
            </w:r>
          </w:p>
        </w:tc>
        <w:tc>
          <w:tcPr>
            <w:tcW w:type="dxa" w:w="2600"/>
            <w:tcMar>
              <w:top w:type="dxa" w:w="95"/>
              <w:left w:type="dxa" w:w="100"/>
              <w:bottom w:type="dxa" w:w="95"/>
              <w:right w:type="dxa" w:w="100"/>
            </w:tcMar>
          </w:tcPr>
          <w:p>
            <w:pPr>
              <w:spacing w:after="0" w:before="0"/>
            </w:pPr>
            <w:r>
              <w:rPr>
                <w:rFonts w:ascii="Calibri" w:cs="Calibri" w:eastAsia="Calibri" w:hAnsi="Calibri"/>
                <w:b/>
                <w:bCs/>
                <w:i w:val="false"/>
                <w:iCs w:val="false"/>
                <w:caps w:val="false"/>
                <w:color w:val="1A1A1A"/>
                <w:sz w:val="18"/>
                <w:szCs w:val="18"/>
              </w:rPr>
              <w:t xml:space="preserve">Rest and play-testing</w:t>
            </w:r>
          </w:p>
        </w:tc>
        <w:tc>
          <w:tcPr>
            <w:tcW w:type="dxa" w:w="6500"/>
            <w:tcMar>
              <w:top w:type="dxa" w:w="95"/>
              <w:left w:type="dxa" w:w="100"/>
              <w:bottom w:type="dxa" w:w="95"/>
              <w:right w:type="dxa" w:w="100"/>
            </w:tcMar>
          </w:tcPr>
          <w:p>
            <w:pPr>
              <w:spacing w:after="0" w:before="0"/>
            </w:pPr>
            <w:r>
              <w:rPr>
                <w:rFonts w:ascii="Calibri" w:cs="Calibri" w:eastAsia="Calibri" w:hAnsi="Calibri"/>
                <w:b w:val="false"/>
                <w:bCs w:val="false"/>
                <w:i w:val="false"/>
                <w:iCs w:val="false"/>
                <w:caps w:val="false"/>
                <w:color w:val="5E5E5E"/>
                <w:sz w:val="17"/>
                <w:szCs w:val="17"/>
              </w:rPr>
              <w:t xml:space="preserve">Teams stand down. Judges, patients, staff and families play and score every submission.</w:t>
            </w:r>
          </w:p>
        </w:tc>
      </w:tr>
      <w:tr>
        <w:tc>
          <w:tcPr>
            <w:tcW w:type="dxa" w:w="1700"/>
            <w:tcMar>
              <w:top w:type="dxa" w:w="95"/>
              <w:left w:type="dxa" w:w="0"/>
              <w:bottom w:type="dxa" w:w="95"/>
              <w:right w:type="dxa" w:w="0"/>
            </w:tcMar>
          </w:tcPr>
          <w:p>
            <w:pPr>
              <w:spacing w:after="0" w:before="0"/>
            </w:pPr>
            <w:r>
              <w:rPr>
                <w:rFonts w:ascii="Calibri" w:cs="Calibri" w:eastAsia="Calibri" w:hAnsi="Calibri"/>
                <w:b/>
                <w:bCs/>
                <w:i w:val="false"/>
                <w:iCs w:val="false"/>
                <w:caps/>
                <w:color w:val="8A6A2B"/>
                <w:spacing w:val="14"/>
                <w:sz w:val="16"/>
                <w:szCs w:val="16"/>
              </w:rPr>
              <w:t xml:space="preserve">Fri 9 Apr</w:t>
            </w:r>
          </w:p>
        </w:tc>
        <w:tc>
          <w:tcPr>
            <w:tcW w:type="dxa" w:w="2600"/>
            <w:tcMar>
              <w:top w:type="dxa" w:w="95"/>
              <w:left w:type="dxa" w:w="100"/>
              <w:bottom w:type="dxa" w:w="95"/>
              <w:right w:type="dxa" w:w="100"/>
            </w:tcMar>
          </w:tcPr>
          <w:p>
            <w:pPr>
              <w:spacing w:after="0" w:before="0"/>
            </w:pPr>
            <w:r>
              <w:rPr>
                <w:rFonts w:ascii="Calibri" w:cs="Calibri" w:eastAsia="Calibri" w:hAnsi="Calibri"/>
                <w:b/>
                <w:bCs/>
                <w:i w:val="false"/>
                <w:iCs w:val="false"/>
                <w:caps w:val="false"/>
                <w:color w:val="1A1A1A"/>
                <w:sz w:val="18"/>
                <w:szCs w:val="18"/>
              </w:rPr>
              <w:t xml:space="preserve">Awards</w:t>
            </w:r>
          </w:p>
        </w:tc>
        <w:tc>
          <w:tcPr>
            <w:tcW w:type="dxa" w:w="6500"/>
            <w:tcMar>
              <w:top w:type="dxa" w:w="95"/>
              <w:left w:type="dxa" w:w="100"/>
              <w:bottom w:type="dxa" w:w="95"/>
              <w:right w:type="dxa" w:w="100"/>
            </w:tcMar>
          </w:tcPr>
          <w:p>
            <w:pPr>
              <w:spacing w:after="0" w:before="0"/>
            </w:pPr>
            <w:r>
              <w:rPr>
                <w:rFonts w:ascii="Calibri" w:cs="Calibri" w:eastAsia="Calibri" w:hAnsi="Calibri"/>
                <w:b w:val="false"/>
                <w:bCs w:val="false"/>
                <w:i w:val="false"/>
                <w:iCs w:val="false"/>
                <w:caps w:val="false"/>
                <w:color w:val="5E5E5E"/>
                <w:sz w:val="17"/>
                <w:szCs w:val="17"/>
              </w:rPr>
              <w:t xml:space="preserve">Winners announced by the patients who wrote the brief.</w:t>
            </w:r>
          </w:p>
        </w:tc>
      </w:tr>
    </w:tbl>
    <w:p>
      <w:pPr>
        <w:spacing w:after="70" w:before="0"/>
      </w:pPr>
      <w:r>
        <w:rPr>
          <w:rFonts w:ascii="Calibri" w:cs="Calibri" w:eastAsia="Calibri" w:hAnsi="Calibri"/>
          <w:b/>
          <w:bCs/>
          <w:i w:val="false"/>
          <w:iCs w:val="false"/>
          <w:caps/>
          <w:color w:val="8A6A2B"/>
          <w:spacing w:val="24"/>
          <w:sz w:val="15"/>
          <w:szCs w:val="15"/>
        </w:rPr>
        <w:t xml:space="preserve">Good to know</w:t>
      </w:r>
    </w:p>
    <w:p>
      <w:pPr>
        <w:spacing w:before="120"/>
      </w:pPr>
    </w:p>
    <w:p>
      <w:pPr>
        <w:spacing w:after="70"/>
      </w:pPr>
      <w:r>
        <w:rPr>
          <w:rFonts w:ascii="Calibri" w:cs="Calibri" w:eastAsia="Calibri" w:hAnsi="Calibri"/>
          <w:b/>
          <w:bCs/>
          <w:i w:val="false"/>
          <w:iCs w:val="false"/>
          <w:caps w:val="false"/>
          <w:color w:val="1A1A1A"/>
          <w:sz w:val="18"/>
          <w:szCs w:val="18"/>
        </w:rPr>
        <w:t xml:space="preserve">Ownership · </w:t>
      </w:r>
      <w:r>
        <w:rPr>
          <w:rFonts w:ascii="Calibri" w:cs="Calibri" w:eastAsia="Calibri" w:hAnsi="Calibri"/>
          <w:b w:val="false"/>
          <w:bCs w:val="false"/>
          <w:i w:val="false"/>
          <w:iCs w:val="false"/>
          <w:caps w:val="false"/>
          <w:color w:val="5E5E5E"/>
          <w:sz w:val="18"/>
          <w:szCs w:val="18"/>
        </w:rPr>
        <w:t xml:space="preserve">The Nemours Estate owns everything created during the event. Students keep the permanent right to say they made it, and their schools may showcase it as evidence of their academic programs. No compensation is paid to students, schools or sponsors.</w:t>
      </w:r>
    </w:p>
    <w:p>
      <w:pPr>
        <w:spacing w:after="70"/>
      </w:pPr>
      <w:r>
        <w:rPr>
          <w:rFonts w:ascii="Calibri" w:cs="Calibri" w:eastAsia="Calibri" w:hAnsi="Calibri"/>
          <w:b/>
          <w:bCs/>
          <w:i w:val="false"/>
          <w:iCs w:val="false"/>
          <w:caps w:val="false"/>
          <w:color w:val="1A1A1A"/>
          <w:sz w:val="18"/>
          <w:szCs w:val="18"/>
        </w:rPr>
        <w:t xml:space="preserve">Patients · </w:t>
      </w:r>
      <w:r>
        <w:rPr>
          <w:rFonts w:ascii="Calibri" w:cs="Calibri" w:eastAsia="Calibri" w:hAnsi="Calibri"/>
          <w:b w:val="false"/>
          <w:bCs w:val="false"/>
          <w:i w:val="false"/>
          <w:iCs w:val="false"/>
          <w:caps w:val="false"/>
          <w:color w:val="5E5E5E"/>
          <w:sz w:val="18"/>
          <w:szCs w:val="18"/>
        </w:rPr>
        <w:t xml:space="preserve">Patient participation is voluntary and coordinated through Child Life. No patient is photographed, recorded or streamed without documented prior guardian authorisation.</w:t>
      </w:r>
    </w:p>
    <w:p>
      <w:pPr>
        <w:spacing w:after="70"/>
      </w:pPr>
      <w:r>
        <w:rPr>
          <w:rFonts w:ascii="Calibri" w:cs="Calibri" w:eastAsia="Calibri" w:hAnsi="Calibri"/>
          <w:b/>
          <w:bCs/>
          <w:i w:val="false"/>
          <w:iCs w:val="false"/>
          <w:caps w:val="false"/>
          <w:color w:val="1A1A1A"/>
          <w:sz w:val="18"/>
          <w:szCs w:val="18"/>
        </w:rPr>
        <w:t xml:space="preserve">The awards · </w:t>
      </w:r>
      <w:r>
        <w:rPr>
          <w:rFonts w:ascii="Calibri" w:cs="Calibri" w:eastAsia="Calibri" w:hAnsi="Calibri"/>
          <w:b w:val="false"/>
          <w:bCs w:val="false"/>
          <w:i w:val="false"/>
          <w:iCs w:val="false"/>
          <w:caps w:val="false"/>
          <w:color w:val="5E5E5E"/>
          <w:sz w:val="18"/>
          <w:szCs w:val="18"/>
        </w:rPr>
        <w:t xml:space="preserve">Named awards map to the three judging measures — Alfred for technology, Jessie for education, Alicia for design — alongside the daily “Minors” and the Patients’ Pick, chosen by the patients themselves.</w:t>
      </w:r>
    </w:p>
    <w:p>
      <w:pPr>
        <w:pBdr>
          <w:bottom w:val="single" w:color="D6D2C8" w:sz="6" w:space="6"/>
        </w:pBdr>
        <w:spacing w:after="170" w:before="200"/>
      </w:pPr>
      <w:r>
        <w:rPr>
          <w:rFonts w:ascii="Calibri" w:cs="Calibri" w:eastAsia="Calibri" w:hAnsi="Calibri"/>
          <w:b w:val="false"/>
          <w:bCs w:val="false"/>
          <w:i w:val="false"/>
          <w:iCs w:val="false"/>
          <w:caps w:val="false"/>
          <w:color w:val="1A1A1A"/>
          <w:sz w:val="2"/>
          <w:szCs w:val="2"/>
        </w:rPr>
        <w:t xml:space="preserve"/>
      </w:r>
    </w:p>
    <w:p>
      <w:pPr>
        <w:spacing w:after="60" w:before="0"/>
      </w:pPr>
      <w:r>
        <w:rPr>
          <w:rFonts w:ascii="Calibri" w:cs="Calibri" w:eastAsia="Calibri" w:hAnsi="Calibri"/>
          <w:b/>
          <w:bCs/>
          <w:i w:val="false"/>
          <w:iCs w:val="false"/>
          <w:caps w:val="false"/>
          <w:color w:val="1A1A1A"/>
          <w:sz w:val="22"/>
          <w:szCs w:val="22"/>
        </w:rPr>
        <w:t xml:space="preserve">Next step</w:t>
      </w:r>
    </w:p>
    <w:p>
      <w:pPr>
        <w:spacing w:after="90" w:before="0"/>
      </w:pPr>
      <w:r>
        <w:rPr>
          <w:rFonts w:ascii="Calibri" w:cs="Calibri" w:eastAsia="Calibri" w:hAnsi="Calibri"/>
          <w:b w:val="false"/>
          <w:bCs w:val="false"/>
          <w:i w:val="false"/>
          <w:iCs w:val="false"/>
          <w:caps w:val="false"/>
          <w:color w:val="5E5E5E"/>
          <w:sz w:val="19"/>
          <w:szCs w:val="19"/>
        </w:rPr>
        <w:t xml:space="preserve">Tell us which team you would like to back, or ask for a conversation. We will follow up with the agreement, the recognition plan and the fundraising timeline.</w:t>
      </w:r>
    </w:p>
    <w:p>
      <w:pPr>
        <w:spacing w:after="14" w:before="0"/>
      </w:pPr>
      <w:r>
        <w:rPr>
          <w:rFonts w:ascii="Calibri" w:cs="Calibri" w:eastAsia="Calibri" w:hAnsi="Calibri"/>
          <w:b/>
          <w:bCs/>
          <w:i w:val="false"/>
          <w:iCs w:val="false"/>
          <w:caps w:val="false"/>
          <w:color w:val="8A6A2B"/>
          <w:sz w:val="22"/>
          <w:szCs w:val="22"/>
        </w:rPr>
        <w:t xml:space="preserve">help@tankopanijam.com</w:t>
      </w:r>
    </w:p>
    <w:p>
      <w:pPr>
        <w:spacing w:after="8" w:before="0"/>
      </w:pPr>
      <w:r>
        <w:rPr>
          <w:rFonts w:ascii="Calibri" w:cs="Calibri" w:eastAsia="Calibri" w:hAnsi="Calibri"/>
          <w:b w:val="false"/>
          <w:bCs w:val="false"/>
          <w:i w:val="false"/>
          <w:iCs w:val="false"/>
          <w:caps w:val="false"/>
          <w:color w:val="5E5E5E"/>
          <w:sz w:val="18"/>
          <w:szCs w:val="18"/>
        </w:rPr>
        <w:t xml:space="preserve">Scott [last name] · [phone]</w:t>
      </w:r>
    </w:p>
    <w:p>
      <w:pPr>
        <w:spacing w:after="150" w:before="0"/>
      </w:pPr>
      <w:r>
        <w:rPr>
          <w:rFonts w:ascii="Calibri" w:cs="Calibri" w:eastAsia="Calibri" w:hAnsi="Calibri"/>
          <w:b w:val="false"/>
          <w:bCs w:val="false"/>
          <w:i w:val="false"/>
          <w:iCs w:val="false"/>
          <w:caps w:val="false"/>
          <w:color w:val="7A7A7A"/>
          <w:sz w:val="17"/>
          <w:szCs w:val="17"/>
        </w:rPr>
        <w:t xml:space="preserve">Sponsorships close [date].</w:t>
      </w:r>
    </w:p>
    <w:p>
      <w:pPr>
        <w:spacing w:after="0" w:before="0"/>
      </w:pPr>
      <w:r>
        <w:rPr>
          <w:rFonts w:ascii="Calibri" w:cs="Calibri" w:eastAsia="Calibri" w:hAnsi="Calibri"/>
          <w:b w:val="false"/>
          <w:bCs w:val="false"/>
          <w:i w:val="false"/>
          <w:iCs w:val="false"/>
          <w:caps w:val="false"/>
          <w:color w:val="7A7A7A"/>
          <w:sz w:val="15"/>
          <w:szCs w:val="15"/>
        </w:rPr>
        <w:t xml:space="preserve">Sample prospectus. Contribution levels, recognition details and deadlines are placeholders for discussion and are not final.</w:t>
      </w:r>
    </w:p>
    <w:sectPr>
      <w:pgSz w:w="12240" w:h="15840" w:orient="portrait"/>
      <w:pgMar w:top="70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fa623ed43cf50a096d7ff51361d9e753b33a2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2026-09-21T19:35:53.053Z</dcterms:created>
  <dcterms:modified xsi:type="dcterms:W3CDTF">2026-09-21T19:35:53.053Z</dcterms:modified>
</cp:coreProperties>
</file>

<file path=docProps/custom.xml><?xml version="1.0" encoding="utf-8"?>
<Properties xmlns="http://schemas.openxmlformats.org/officeDocument/2006/custom-properties" xmlns:vt="http://schemas.openxmlformats.org/officeDocument/2006/docPropsVTypes"/>
</file>