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1A1A1A"/>
          <w:sz w:val="36"/>
          <w:szCs w:val="36"/>
        </w:rPr>
        <w:t xml:space="preserve">TankopaniJam — Landing Page Copy Deck</w:t>
      </w:r>
    </w:p>
    <w:p>
      <w:pPr>
        <w:spacing w:after="60"/>
      </w:pPr>
      <w:r>
        <w:rPr>
          <w:rFonts w:ascii="Calibri" w:cs="Calibri" w:eastAsia="Calibri" w:hAnsi="Calibri"/>
          <w:color w:val="6B6B6B"/>
          <w:sz w:val="21"/>
          <w:szCs w:val="21"/>
        </w:rPr>
        <w:t xml:space="preserve">Every piece of text on the landing page, in the order it appears.</w:t>
      </w:r>
    </w:p>
    <w:p>
      <w:pPr>
        <w:pBdr>
          <w:bottom w:val="single" w:color="C9C9C9" w:sz="6" w:space="10"/>
        </w:pBdr>
        <w:spacing w:after="260"/>
      </w:pPr>
      <w:r>
        <w:rPr>
          <w:rFonts w:ascii="Calibri" w:cs="Calibri" w:eastAsia="Calibri" w:hAnsi="Calibri"/>
          <w:color w:val="6B6B6B"/>
          <w:sz w:val="19"/>
          <w:szCs w:val="19"/>
        </w:rPr>
        <w:t xml:space="preserve">Event: April 4–9, 2027 · Nemours Estate and Hospital, Wilmington, DE</w:t>
      </w:r>
    </w:p>
    <w:p>
      <w:pPr>
        <w:spacing w:after="20" w:before="120"/>
      </w:pPr>
      <w:r>
        <w:rPr>
          <w:rFonts w:ascii="Calibri" w:cs="Calibri" w:eastAsia="Calibri" w:hAnsi="Calibri"/>
          <w:b/>
          <w:bCs/>
          <w:color w:val="1A1A1A"/>
          <w:sz w:val="20"/>
          <w:szCs w:val="20"/>
        </w:rPr>
        <w:t xml:space="preserve">How to use this</w:t>
      </w:r>
    </w:p>
    <w:p>
      <w:pPr>
        <w:spacing w:after="80"/>
      </w:pPr>
      <w:r>
        <w:rPr>
          <w:rFonts w:ascii="Calibri" w:cs="Calibri" w:eastAsia="Calibri" w:hAnsi="Calibri"/>
          <w:color w:val="6B6B6B"/>
          <w:sz w:val="19"/>
          <w:szCs w:val="19"/>
        </w:rPr>
        <w:t xml:space="preserve">Put your rewrite in the last column, "New copy". Leave a row blank if the current copy is fine. Please don't edit the ID column — it is what maps each line back into the website.</w:t>
      </w:r>
    </w:p>
    <w:p>
      <w:pPr>
        <w:spacing w:after="20" w:before="120"/>
      </w:pPr>
      <w:r>
        <w:rPr>
          <w:rFonts w:ascii="Calibri" w:cs="Calibri" w:eastAsia="Calibri" w:hAnsi="Calibri"/>
          <w:b/>
          <w:bCs/>
          <w:color w:val="1A1A1A"/>
          <w:sz w:val="20"/>
          <w:szCs w:val="20"/>
        </w:rPr>
        <w:t xml:space="preserve">Two designs, one set of words</w:t>
      </w:r>
    </w:p>
    <w:p>
      <w:pPr>
        <w:spacing w:after="80"/>
      </w:pPr>
      <w:r>
        <w:rPr>
          <w:rFonts w:ascii="Calibri" w:cs="Calibri" w:eastAsia="Calibri" w:hAnsi="Calibri"/>
          <w:color w:val="6B6B6B"/>
          <w:sz w:val="19"/>
          <w:szCs w:val="19"/>
        </w:rPr>
        <w:t xml:space="preserve">The site has two visual versions (a classic one and a neon one). They share this exact copy, so every edit here lands in both. There is no need to mark which design you mean.</w:t>
      </w:r>
    </w:p>
    <w:p>
      <w:pPr>
        <w:spacing w:after="20" w:before="120"/>
      </w:pPr>
      <w:r>
        <w:rPr>
          <w:rFonts w:ascii="Calibri" w:cs="Calibri" w:eastAsia="Calibri" w:hAnsi="Calibri"/>
          <w:b/>
          <w:bCs/>
          <w:color w:val="1A1A1A"/>
          <w:sz w:val="20"/>
          <w:szCs w:val="20"/>
        </w:rPr>
        <w:t xml:space="preserve">Square brackets</w:t>
      </w:r>
    </w:p>
    <w:p>
      <w:pPr>
        <w:spacing w:after="80"/>
      </w:pPr>
      <w:r>
        <w:rPr>
          <w:rFonts w:ascii="Calibri" w:cs="Calibri" w:eastAsia="Calibri" w:hAnsi="Calibri"/>
          <w:color w:val="6B6B6B"/>
          <w:sz w:val="19"/>
          <w:szCs w:val="19"/>
        </w:rPr>
        <w:t xml:space="preserve">Anything in [square brackets] is a placeholder we are still waiting on — dates, a phone number, a surname. You can ignore those unless you have the real value.</w:t>
      </w:r>
    </w:p>
    <w:p>
      <w:pPr>
        <w:spacing w:after="20" w:before="120"/>
      </w:pPr>
      <w:r>
        <w:rPr>
          <w:rFonts w:ascii="Calibri" w:cs="Calibri" w:eastAsia="Calibri" w:hAnsi="Calibri"/>
          <w:b/>
          <w:bCs/>
          <w:color w:val="1A1A1A"/>
          <w:sz w:val="20"/>
          <w:szCs w:val="20"/>
        </w:rPr>
        <w:t xml:space="preserve">Length matters</w:t>
      </w:r>
    </w:p>
    <w:p>
      <w:pPr>
        <w:spacing w:after="80"/>
      </w:pPr>
      <w:r>
        <w:rPr>
          <w:rFonts w:ascii="Calibri" w:cs="Calibri" w:eastAsia="Calibri" w:hAnsi="Calibri"/>
          <w:color w:val="6B6B6B"/>
          <w:sz w:val="19"/>
          <w:szCs w:val="19"/>
        </w:rPr>
        <w:t xml:space="preserve">Headlines and the small labels sit in tight spaces. Staying near the current length keeps the layout intact; if a rewrite runs much longer or shorter, flag it and we will check it on the page.</w:t>
      </w:r>
    </w:p>
    <w:p>
      <w:pPr>
        <w:spacing w:after="140" w:before="300"/>
      </w:pPr>
      <w:r>
        <w:rPr>
          <w:rFonts w:ascii="Calibri" w:cs="Calibri" w:eastAsia="Calibri" w:hAnsi="Calibri"/>
          <w:b/>
          <w:bCs/>
          <w:color w:val="8A6A2B"/>
          <w:sz w:val="19"/>
          <w:szCs w:val="19"/>
        </w:rPr>
        <w:t xml:space="preserve">82 lines of copy</w:t>
      </w:r>
    </w:p>
    <w:tbl>
      <w:tblPr>
        <w:tblW w:type="dxa" w:w="14400"/>
        <w:tblBorders>
          <w:top w:val="single" w:color="C9C9C9" w:sz="4"/>
          <w:left w:val="single" w:color="C9C9C9" w:sz="4"/>
          <w:bottom w:val="single" w:color="C9C9C9" w:sz="4"/>
          <w:right w:val="single" w:color="C9C9C9" w:sz="4"/>
          <w:insideH w:val="single" w:color="C9C9C9" w:sz="4"/>
          <w:insideV w:val="single" w:color="C9C9C9" w:sz="4"/>
        </w:tblBorders>
      </w:tblPr>
      <w:tblGrid>
        <w:gridCol w:w="2100"/>
        <w:gridCol w:w="2500"/>
        <w:gridCol w:w="5300"/>
        <w:gridCol w:w="4500"/>
      </w:tblGrid>
      <w:tr>
        <w:trPr>
          <w:tblHeader/>
        </w:trPr>
        <w:tc>
          <w:tcPr>
            <w:tcW w:type="dxa" w:w="2100"/>
            <w:shd w:fill="EFEBE1" w:color="auto" w:val="clear"/>
            <w:tcMar>
              <w:top w:type="dxa" w:w="90"/>
              <w:left w:type="dxa" w:w="120"/>
              <w:bottom w:type="dxa" w:w="90"/>
              <w:right w:type="dxa" w:w="120"/>
            </w:tcMar>
          </w:tcPr>
          <w:p>
            <w:pPr>
              <w:spacing w:after="0"/>
            </w:pPr>
            <w:r>
              <w:rPr>
                <w:rFonts w:ascii="Calibri" w:cs="Calibri" w:eastAsia="Calibri" w:hAnsi="Calibri"/>
                <w:b/>
                <w:bCs/>
                <w:i w:val="false"/>
                <w:iCs w:val="false"/>
                <w:color w:val="1A1A1A"/>
                <w:sz w:val="17"/>
                <w:szCs w:val="17"/>
              </w:rPr>
              <w:t xml:space="preserve">ID — do not change</w:t>
            </w:r>
          </w:p>
        </w:tc>
        <w:tc>
          <w:tcPr>
            <w:tcW w:type="dxa" w:w="2500"/>
            <w:shd w:fill="EFEBE1" w:color="auto" w:val="clear"/>
            <w:tcMar>
              <w:top w:type="dxa" w:w="90"/>
              <w:left w:type="dxa" w:w="120"/>
              <w:bottom w:type="dxa" w:w="90"/>
              <w:right w:type="dxa" w:w="120"/>
            </w:tcMar>
          </w:tcPr>
          <w:p>
            <w:pPr>
              <w:spacing w:after="0"/>
            </w:pPr>
            <w:r>
              <w:rPr>
                <w:rFonts w:ascii="Calibri" w:cs="Calibri" w:eastAsia="Calibri" w:hAnsi="Calibri"/>
                <w:b/>
                <w:bCs/>
                <w:i w:val="false"/>
                <w:iCs w:val="false"/>
                <w:color w:val="1A1A1A"/>
                <w:sz w:val="17"/>
                <w:szCs w:val="17"/>
              </w:rPr>
              <w:t xml:space="preserve">Where it appears</w:t>
            </w:r>
          </w:p>
        </w:tc>
        <w:tc>
          <w:tcPr>
            <w:tcW w:type="dxa" w:w="5300"/>
            <w:shd w:fill="EFEBE1" w:color="auto" w:val="clear"/>
            <w:tcMar>
              <w:top w:type="dxa" w:w="90"/>
              <w:left w:type="dxa" w:w="120"/>
              <w:bottom w:type="dxa" w:w="90"/>
              <w:right w:type="dxa" w:w="120"/>
            </w:tcMar>
          </w:tcPr>
          <w:p>
            <w:pPr>
              <w:spacing w:after="0"/>
            </w:pPr>
            <w:r>
              <w:rPr>
                <w:rFonts w:ascii="Calibri" w:cs="Calibri" w:eastAsia="Calibri" w:hAnsi="Calibri"/>
                <w:b/>
                <w:bCs/>
                <w:i w:val="false"/>
                <w:iCs w:val="false"/>
                <w:color w:val="1A1A1A"/>
                <w:sz w:val="17"/>
                <w:szCs w:val="17"/>
              </w:rPr>
              <w:t xml:space="preserve">Current copy</w:t>
            </w:r>
          </w:p>
        </w:tc>
        <w:tc>
          <w:tcPr>
            <w:tcW w:type="dxa" w:w="4500"/>
            <w:shd w:fill="EFEBE1" w:color="auto" w:val="clear"/>
            <w:tcMar>
              <w:top w:type="dxa" w:w="90"/>
              <w:left w:type="dxa" w:w="120"/>
              <w:bottom w:type="dxa" w:w="90"/>
              <w:right w:type="dxa" w:w="120"/>
            </w:tcMar>
          </w:tcPr>
          <w:p>
            <w:pPr>
              <w:spacing w:after="0"/>
            </w:pPr>
            <w:r>
              <w:rPr>
                <w:rFonts w:ascii="Calibri" w:cs="Calibri" w:eastAsia="Calibri" w:hAnsi="Calibri"/>
                <w:b/>
                <w:bCs/>
                <w:i w:val="false"/>
                <w:iCs w:val="false"/>
                <w:color w:val="1A1A1A"/>
                <w:sz w:val="17"/>
                <w:szCs w:val="17"/>
              </w:rPr>
              <w:t xml:space="preserve">New copy — edit here</w:t>
            </w:r>
          </w:p>
        </w:tc>
      </w:tr>
      <w:tr>
        <w:tc>
          <w:tcPr>
            <w:tcW w:type="dxa" w:w="14400"/>
            <w:gridSpan w:val="4"/>
            <w:shd w:fill="F7F5F0" w:color="auto" w:val="clear"/>
            <w:tcMar>
              <w:top w:type="dxa" w:w="130"/>
              <w:left w:type="dxa" w:w="120"/>
              <w:bottom w:type="dxa" w:w="110"/>
              <w:right w:type="dxa" w:w="120"/>
            </w:tcMar>
          </w:tcPr>
          <w:p>
            <w:pPr>
              <w:spacing w:after="0"/>
            </w:pPr>
            <w:r>
              <w:rPr>
                <w:rFonts w:ascii="Calibri" w:cs="Calibri" w:eastAsia="Calibri" w:hAnsi="Calibri"/>
                <w:b/>
                <w:bCs/>
                <w:i w:val="false"/>
                <w:iCs w:val="false"/>
                <w:color w:val="8A6A2B"/>
                <w:sz w:val="18"/>
                <w:szCs w:val="18"/>
              </w:rPr>
              <w:t xml:space="preserve">HERO</w:t>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hero.kicker</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Hero · date &amp; location line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April 4–9, 2027 · The Nemours Estate and Hospital, Wilmington, DE · Five slots</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hero.wordmark</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Hero · wordmark</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TankopaniJam</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hero.headline</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Hero · headline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He left it to them.</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hero.sub</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Hero · subhead</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Five college teams. Seventy-two hours. One game each, built out of a hundred-year-old estate — for the children it was left to, and handed back to them three days later.</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hero.card.label</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Hero · jump-card label</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Universities</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hero.card.title</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Hero · jump-card title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Put a team in</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hero.card.label-2</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Hero · jump-card label</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Students</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hero.card.title-2</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Hero · jump-card title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Apply to build</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hero.card.label-3</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Hero · jump-card label</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Sponsors</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hero.card.title-3</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Hero · jump-card title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Adopt a team</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hero.photo.caption</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Hero · photo caption</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Nemours Estate — the bowling alley</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hero.photo.caption-2</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Hero · photo caption</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Nemours Estate — the library</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hero.photo.caption-3</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Hero · photo caption</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Nemours Estate — the chauffeur's garage</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14400"/>
            <w:gridSpan w:val="4"/>
            <w:shd w:fill="F7F5F0" w:color="auto" w:val="clear"/>
            <w:tcMar>
              <w:top w:type="dxa" w:w="130"/>
              <w:left w:type="dxa" w:w="120"/>
              <w:bottom w:type="dxa" w:w="110"/>
              <w:right w:type="dxa" w:w="120"/>
            </w:tcMar>
          </w:tcPr>
          <w:p>
            <w:pPr>
              <w:spacing w:after="0"/>
            </w:pPr>
            <w:r>
              <w:rPr>
                <w:rFonts w:ascii="Calibri" w:cs="Calibri" w:eastAsia="Calibri" w:hAnsi="Calibri"/>
                <w:b/>
                <w:bCs/>
                <w:i w:val="false"/>
                <w:iCs w:val="false"/>
                <w:color w:val="8A6A2B"/>
                <w:sz w:val="18"/>
                <w:szCs w:val="18"/>
              </w:rPr>
              <w:t xml:space="preserve">WHY THIS EVENT EXISTS</w:t>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creed.eyebrow</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Creed · eyebrow</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Why this event exists</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creed.beat.number</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Creed · beat number</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01</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creed.beat</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Creed · beat</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A hundred years ago, Alfred I. duPont filled this place with everything he loved.</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creed.beat.number-2</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Creed · beat number</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02</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creed.beat-2</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Creed · beat</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Then he left it to children going through medical treatment.</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creed.beat.number-3</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Creed · beat number</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03</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creed.beat-3</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Creed · beat</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Now you get to build something for them, out of it.</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creed.tail</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Creed · closing paragraph</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TankopaniJam. The Estate opens its archive — objects, music, history — and five teams get seventy-two hours to turn it into a game for the kids who are here right now. The kids write the brief. The kids judge the result. There are three ways to be part of it.</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14400"/>
            <w:gridSpan w:val="4"/>
            <w:shd w:fill="F7F5F0" w:color="auto" w:val="clear"/>
            <w:tcMar>
              <w:top w:type="dxa" w:w="130"/>
              <w:left w:type="dxa" w:w="120"/>
              <w:bottom w:type="dxa" w:w="110"/>
              <w:right w:type="dxa" w:w="120"/>
            </w:tcMar>
          </w:tcPr>
          <w:p>
            <w:pPr>
              <w:spacing w:after="0"/>
            </w:pPr>
            <w:r>
              <w:rPr>
                <w:rFonts w:ascii="Calibri" w:cs="Calibri" w:eastAsia="Calibri" w:hAnsi="Calibri"/>
                <w:b/>
                <w:bCs/>
                <w:i w:val="false"/>
                <w:iCs w:val="false"/>
                <w:color w:val="8A6A2B"/>
                <w:sz w:val="18"/>
                <w:szCs w:val="18"/>
              </w:rPr>
              <w:t xml:space="preserve">CARDS — INTRO</w:t>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doors.lede</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Cards · lede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A kid watches their own idea come to life.</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doors.lede.sub</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Cards · lede subtext</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And a few feet away, the student who built it watches that happen. Everything else is logistics — and the games don't get archived afterward, they stay in rotation, played at the bedside.</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14400"/>
            <w:gridSpan w:val="4"/>
            <w:shd w:fill="F7F5F0" w:color="auto" w:val="clear"/>
            <w:tcMar>
              <w:top w:type="dxa" w:w="130"/>
              <w:left w:type="dxa" w:w="120"/>
              <w:bottom w:type="dxa" w:w="110"/>
              <w:right w:type="dxa" w:w="120"/>
            </w:tcMar>
          </w:tcPr>
          <w:p>
            <w:pPr>
              <w:spacing w:after="0"/>
            </w:pPr>
            <w:r>
              <w:rPr>
                <w:rFonts w:ascii="Calibri" w:cs="Calibri" w:eastAsia="Calibri" w:hAnsi="Calibri"/>
                <w:b/>
                <w:bCs/>
                <w:i w:val="false"/>
                <w:iCs w:val="false"/>
                <w:color w:val="8A6A2B"/>
                <w:sz w:val="18"/>
                <w:szCs w:val="18"/>
              </w:rPr>
              <w:t xml:space="preserve">CARD 1 — UNIVERSITIES</w:t>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universities.tag</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Universities card · tag</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Universities</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universities.echo</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Universities card · echo line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He left the place. You send the people who build in it.</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universities.heading</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Universities card · heading</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Put a team in the room.</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universities.body</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Universities card · body</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A scored external competition with a published rubric, an applied learning placement, and a portfolio artifact built for a real client — all inside one week. Your students work from a century-old archive and hand the result to the children it was left to.</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universities.bullet</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Universities card · bullet</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Documented assessment evidence per team</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universities.bullet-2</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Universities card · bullet</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Syllabus-ready outcomes if you want credit</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universities.bullet-3</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Universities card · bullet</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Sunday arrival, Monday–Friday on site — one academic week</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universities.bullet-4</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Universities card · bullet</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No cost. Meals and equipment covered.</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universities.button</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Universities card · button</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Request the one-pager</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universities.deadline</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Universities card · deadline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Commitments close [date]</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14400"/>
            <w:gridSpan w:val="4"/>
            <w:shd w:fill="F7F5F0" w:color="auto" w:val="clear"/>
            <w:tcMar>
              <w:top w:type="dxa" w:w="130"/>
              <w:left w:type="dxa" w:w="120"/>
              <w:bottom w:type="dxa" w:w="110"/>
              <w:right w:type="dxa" w:w="120"/>
            </w:tcMar>
          </w:tcPr>
          <w:p>
            <w:pPr>
              <w:spacing w:after="0"/>
            </w:pPr>
            <w:r>
              <w:rPr>
                <w:rFonts w:ascii="Calibri" w:cs="Calibri" w:eastAsia="Calibri" w:hAnsi="Calibri"/>
                <w:b/>
                <w:bCs/>
                <w:i w:val="false"/>
                <w:iCs w:val="false"/>
                <w:color w:val="8A6A2B"/>
                <w:sz w:val="18"/>
                <w:szCs w:val="18"/>
              </w:rPr>
              <w:t xml:space="preserve">CARD 2 — STUDENTS</w:t>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students.tag</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Students card · tag</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Students</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students.echo</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Students card · echo line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You get the keys to the house — and three days.</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students.heading</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Students card · heading</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Build something that gets played.</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students.body</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Students card · body</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Any skill level. You'll be handed objects, music, and history out of the Estate's archive, and a brief written by the kids themselves. On day four you'll be standing there when they see what you made of it.</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students.bullet</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Students card · bullet</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National bragging rights for winning</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students.bullet-2</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Students card · bullet</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Help to create an archive with a National Historic site</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students.bullet-3</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Students card · bullet</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Bring your laptop or desktop. Use your engine of choice.</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students.bullet-4</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Students card · bullet</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Form your own team of 2–5 — no solo entries, no placement</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students.button</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Students card · button</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Apply now</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students.deadline</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Students card · deadline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Applications close [date]</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14400"/>
            <w:gridSpan w:val="4"/>
            <w:shd w:fill="F7F5F0" w:color="auto" w:val="clear"/>
            <w:tcMar>
              <w:top w:type="dxa" w:w="130"/>
              <w:left w:type="dxa" w:w="120"/>
              <w:bottom w:type="dxa" w:w="110"/>
              <w:right w:type="dxa" w:w="120"/>
            </w:tcMar>
          </w:tcPr>
          <w:p>
            <w:pPr>
              <w:spacing w:after="0"/>
            </w:pPr>
            <w:r>
              <w:rPr>
                <w:rFonts w:ascii="Calibri" w:cs="Calibri" w:eastAsia="Calibri" w:hAnsi="Calibri"/>
                <w:b/>
                <w:bCs/>
                <w:i w:val="false"/>
                <w:iCs w:val="false"/>
                <w:color w:val="8A6A2B"/>
                <w:sz w:val="18"/>
                <w:szCs w:val="18"/>
              </w:rPr>
              <w:t xml:space="preserve">CARD 3 — SPONSORS</w:t>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sponsors.tag</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Sponsors card · tag</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Sponsors</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sponsors.echo</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Sponsors card · echo line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A tinkerer, an inventor, a musician filled this house. Fund the next generation of creators.</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sponsors.heading</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Sponsors card · heading</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Adopt a team.</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sponsors.body</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Sponsors card · body</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Back five students by name. Meet them, be recognized alongside their work, and appear in the credits of a game that stays in service at the bedside long after the week is over.</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sponsors.bullet</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Sponsors card · bullet</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Named on team materials and the livestream</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sponsors.bullet-2</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Sponsors card · bullet</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Meet-the-team session and photo</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sponsors.bullet-3</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Sponsors card · bullet</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Funds scholarships and bedside gaming</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sponsors.bullet-4</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Sponsors card · bullet</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In-kind welcome — hardware, licenses, mentors</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sponsors.button</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Sponsors card · button</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Get the prospectus</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sponsors.deadline</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Sponsors card · deadline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Sponsorships close [date]</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14400"/>
            <w:gridSpan w:val="4"/>
            <w:shd w:fill="F7F5F0" w:color="auto" w:val="clear"/>
            <w:tcMar>
              <w:top w:type="dxa" w:w="130"/>
              <w:left w:type="dxa" w:w="120"/>
              <w:bottom w:type="dxa" w:w="110"/>
              <w:right w:type="dxa" w:w="120"/>
            </w:tcMar>
          </w:tcPr>
          <w:p>
            <w:pPr>
              <w:spacing w:after="0"/>
            </w:pPr>
            <w:r>
              <w:rPr>
                <w:rFonts w:ascii="Calibri" w:cs="Calibri" w:eastAsia="Calibri" w:hAnsi="Calibri"/>
                <w:b/>
                <w:bCs/>
                <w:i w:val="false"/>
                <w:iCs w:val="false"/>
                <w:color w:val="8A6A2B"/>
                <w:sz w:val="18"/>
                <w:szCs w:val="18"/>
              </w:rPr>
              <w:t xml:space="preserve">THE WEEK</w:t>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week.eyebrow</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Week · eyebrow</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April 4–9, 2027</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week.heading</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Week · heading</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A tour, a prompt, three days to build — then the kids play it.</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week.date</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Week · date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Sun · Apr 4</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week.name</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Week · day name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Arrival &amp; the prompt</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week.note</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Week · day note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Tour the Estate and meet the patients who wrote your prompt. It drops around 5pm — the evening is yours to sit with it and start shaping ideas.</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week.date-2</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Week · date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Mon · Apr 5</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week.name-2</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Week · day name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Day 1</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week.note-2</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Week · day note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Settle your concept and mechanics, and start making assets. Two check-ins.</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week.date-3</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Week · date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Tue · Apr 6</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week.name-3</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Week · day name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Day 2</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week.note-3</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Week · day note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Full build day. Two check-ins. This is the day it breaks.</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week.date-4</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Week · date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Wed · Apr 7</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week.name-4</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Week · day name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Day 3</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week.note-4</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Week · day note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Last build day. Two check-ins, and final builds due 5pm to the requirements.</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week.date-5</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Week · date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Thu · Apr 8</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week.name-5</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Week · day name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Rest &amp; play-testing</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week.note-5</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Week · day note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Teams stand down and recover. Judges, patients, staff and families play-test and score every submission, all day.</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week.date-6</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Week · date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Fri · Apr 9</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week.name-6</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Week · day name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Awards</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week.note-6</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Week · day note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Winners announced — by the patients who wrote the brief.</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14400"/>
            <w:gridSpan w:val="4"/>
            <w:shd w:fill="F7F5F0" w:color="auto" w:val="clear"/>
            <w:tcMar>
              <w:top w:type="dxa" w:w="130"/>
              <w:left w:type="dxa" w:w="120"/>
              <w:bottom w:type="dxa" w:w="110"/>
              <w:right w:type="dxa" w:w="120"/>
            </w:tcMar>
          </w:tcPr>
          <w:p>
            <w:pPr>
              <w:spacing w:after="0"/>
            </w:pPr>
            <w:r>
              <w:rPr>
                <w:rFonts w:ascii="Calibri" w:cs="Calibri" w:eastAsia="Calibri" w:hAnsi="Calibri"/>
                <w:b/>
                <w:bCs/>
                <w:i w:val="false"/>
                <w:iCs w:val="false"/>
                <w:color w:val="8A6A2B"/>
                <w:sz w:val="18"/>
                <w:szCs w:val="18"/>
              </w:rPr>
              <w:t xml:space="preserve">FOOTER</w:t>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footer.wordmark</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Footer · wordmark</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TankopaniJam</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footer.line</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Footer · line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April 4–9, 2027</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footer.line-2</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Footer · line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The Nemours Estate and Hospital / Wilmington, DE</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footer.label</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Footer · column label</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Questions</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footer.line-3</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Footer · line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Scott [last name] / help@tankopanijam.com · [phone]</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footer.label-2</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Footer · column label</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Press</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footer.line-4</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Footer · line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[press email] / Media access by prior arrangement.</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footer.terms</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Footer · terms link</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Terms &amp; Conditions</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r>
        <w:tc>
          <w:tcPr>
            <w:tcW w:type="dxa" w:w="2100"/>
            <w:tcMar>
              <w:top w:type="dxa" w:w="90"/>
              <w:left w:type="dxa" w:w="120"/>
              <w:bottom w:type="dxa" w:w="90"/>
              <w:right w:type="dxa" w:w="120"/>
            </w:tcMar>
          </w:tcPr>
          <w:p>
            <w:pPr>
              <w:spacing w:after="0"/>
            </w:pPr>
            <w:r>
              <w:rPr>
                <w:rFonts w:ascii="Consolas" w:cs="Consolas" w:eastAsia="Consolas" w:hAnsi="Consolas"/>
                <w:b w:val="false"/>
                <w:bCs w:val="false"/>
                <w:i w:val="false"/>
                <w:iCs w:val="false"/>
                <w:color w:val="6B6B6B"/>
                <w:sz w:val="16"/>
                <w:szCs w:val="16"/>
              </w:rPr>
              <w:t xml:space="preserve">footer.legal</w:t>
            </w:r>
          </w:p>
        </w:tc>
        <w:tc>
          <w:tcPr>
            <w:tcW w:type="dxa" w:w="2500"/>
            <w:tcMar>
              <w:top w:type="dxa" w:w="90"/>
              <w:left w:type="dxa" w:w="120"/>
              <w:bottom w:type="dxa" w:w="90"/>
              <w:right w:type="dxa" w:w="120"/>
            </w:tcMar>
          </w:tcPr>
          <w:p>
            <w:pPr>
              <w:spacing w:after="0"/>
            </w:pPr>
            <w:r>
              <w:rPr>
                <w:rFonts w:ascii="Calibri" w:cs="Calibri" w:eastAsia="Calibri" w:hAnsi="Calibri"/>
                <w:b w:val="false"/>
                <w:bCs w:val="false"/>
                <w:i w:val="false"/>
                <w:iCs w:val="false"/>
                <w:color w:val="6B6B6B"/>
                <w:sz w:val="17"/>
                <w:szCs w:val="17"/>
              </w:rPr>
              <w:t xml:space="preserve">Footer · legal note</w:t>
            </w:r>
          </w:p>
        </w:tc>
        <w:tc>
          <w:tcPr>
            <w:tcW w:type="dxa" w:w="5300"/>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Patient participation is voluntary and coordinated through Child Life. No patient is photographed, recorded, or streamed without documented prior guardian authorization. Imagery on this page is illustrative and does not depict identifiable patients.</w:t>
            </w:r>
          </w:p>
        </w:tc>
        <w:tc>
          <w:tcPr>
            <w:tcW w:type="dxa" w:w="4500"/>
            <w:shd w:fill="FCFCFA" w:color="auto" w:val="clear"/>
            <w:tcMar>
              <w:top w:type="dxa" w:w="90"/>
              <w:left w:type="dxa" w:w="120"/>
              <w:bottom w:type="dxa" w:w="90"/>
              <w:right w:type="dxa" w:w="120"/>
            </w:tcMar>
          </w:tcPr>
          <w:p>
            <w:pPr>
              <w:spacing w:after="0"/>
            </w:pPr>
            <w:r>
              <w:rPr>
                <w:rFonts w:ascii="Calibri" w:cs="Calibri" w:eastAsia="Calibri" w:hAnsi="Calibri"/>
                <w:b w:val="false"/>
                <w:bCs w:val="false"/>
                <w:i w:val="false"/>
                <w:iCs w:val="false"/>
                <w:color w:val="1A1A1A"/>
                <w:sz w:val="19"/>
                <w:szCs w:val="19"/>
              </w:rPr>
              <w:t xml:space="preserve"/>
            </w:r>
          </w:p>
        </w:tc>
      </w:tr>
    </w:tbl>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2026-09-21T19:03:34.257Z</dcterms:created>
  <dcterms:modified xsi:type="dcterms:W3CDTF">2026-09-21T19:03:34.257Z</dcterms:modified>
</cp:coreProperties>
</file>

<file path=docProps/custom.xml><?xml version="1.0" encoding="utf-8"?>
<Properties xmlns="http://schemas.openxmlformats.org/officeDocument/2006/custom-properties" xmlns:vt="http://schemas.openxmlformats.org/officeDocument/2006/docPropsVTypes"/>
</file>