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sz w:val="28"/>
        </w:rPr>
        <w:t>ТЕХНИЧЕСКИЙ ПАСПОРТ И АРХИТЕКТУРНОЕ ОПИСАНИЕ</w:t>
        <w:br/>
        <w:t>АИС «РЕКРУТИНГ-СЕРВИС» МУП «УЛЬЯНОВСКЭЛЕКТРОТРАНС»</w:t>
        <w:br/>
        <w:t>Версия комплекса: 1.6.0 Production (2026 г.)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B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Характеристика системы</w:t>
            </w:r>
          </w:p>
        </w:tc>
        <w:tc>
          <w:tcPr>
            <w:tcW w:type="dxa" w:w="4680"/>
            <w:shd w:fill="003B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Техническая спецификация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Стек программирования</w:t>
            </w:r>
          </w:p>
        </w:tc>
        <w:tc>
          <w:tcPr>
            <w:tcW w:type="dxa" w:w="4680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Python 3.11+, aiogram 3.13, aiohttp 3.10, python-docx</w:t>
            </w:r>
          </w:p>
        </w:tc>
      </w:tr>
      <w:tr>
        <w:tc>
          <w:tcPr>
            <w:tcW w:type="dxa" w:w="4680"/>
            <w:shd w:fill="F1F5F9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Архитектура данных</w:t>
            </w:r>
          </w:p>
        </w:tc>
        <w:tc>
          <w:tcPr>
            <w:tcW w:type="dxa" w:w="4680"/>
            <w:shd w:fill="F1F5F9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SQLite 3 в режиме Write-Ahead Logging (WAL), транзакционная модель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Класс защищенности ИСПДн</w:t>
            </w:r>
          </w:p>
        </w:tc>
        <w:tc>
          <w:tcPr>
            <w:tcW w:type="dxa" w:w="4680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УЗ-3 (Приказ ФСТЭК России от 18.02.2013 № 21)</w:t>
            </w:r>
          </w:p>
        </w:tc>
      </w:tr>
      <w:tr>
        <w:tc>
          <w:tcPr>
            <w:tcW w:type="dxa" w:w="4680"/>
            <w:shd w:fill="F1F5F9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Многоканальные шлюзы</w:t>
            </w:r>
          </w:p>
        </w:tc>
        <w:tc>
          <w:tcPr>
            <w:tcW w:type="dxa" w:w="4680"/>
            <w:shd w:fill="F1F5F9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Telegram Bot API, ВКонтакте LongPoll, МАКС (MyTeam API)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Потребление памяти RAM</w:t>
            </w:r>
          </w:p>
        </w:tc>
        <w:tc>
          <w:tcPr>
            <w:tcW w:type="dxa" w:w="4680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До 46 МБ VmRSS (встроенный оптимизатор PRAGMA cache_size=-2000)</w:t>
            </w:r>
          </w:p>
        </w:tc>
      </w:tr>
      <w:tr>
        <w:tc>
          <w:tcPr>
            <w:tcW w:type="dxa" w:w="4680"/>
            <w:shd w:fill="F1F5F9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Резервное копирование</w:t>
            </w:r>
          </w:p>
        </w:tc>
        <w:tc>
          <w:tcPr>
            <w:tcW w:type="dxa" w:w="4680"/>
            <w:shd w:fill="F1F5F9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Автоматическое создание горячего снимка каждые 24ч (глубина 7 дней)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Соответствие законодательству</w:t>
            </w:r>
          </w:p>
        </w:tc>
        <w:tc>
          <w:tcPr>
            <w:tcW w:type="dxa" w:w="4680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Федеральный закон № 152-ФЗ, № 149-ФЗ, ТК РФ ст. 86–88, Приказ РКН № 179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