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Plan estratégico</w:t>
      </w:r>
    </w:p>
    <w:tbl>
      <w:tblPr>
        <w:tblStyle w:val="Tablaconcuadrcula"/>
        <w:tblW w:w="93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675"/>
        <w:gridCol w:w="4674"/>
      </w:tblGrid>
      <w:tr>
        <w:trPr/>
        <w:tc>
          <w:tcPr>
            <w:tcW w:w="4675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Nombre de corporación</w:t>
            </w:r>
          </w:p>
        </w:tc>
        <w:tc>
          <w:tcPr>
            <w:tcW w:w="4674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Fecha</w:t>
            </w:r>
          </w:p>
        </w:tc>
      </w:tr>
      <w:tr>
        <w:trPr/>
        <w:tc>
          <w:tcPr>
            <w:tcW w:w="46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Pizzache Corporation</w:t>
            </w:r>
          </w:p>
        </w:tc>
        <w:tc>
          <w:tcPr>
            <w:tcW w:w="46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22/10/205</w:t>
            </w:r>
          </w:p>
        </w:tc>
      </w:tr>
      <w:tr>
        <w:trPr/>
        <w:tc>
          <w:tcPr>
            <w:tcW w:w="4675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Creado por</w:t>
            </w:r>
          </w:p>
        </w:tc>
        <w:tc>
          <w:tcPr>
            <w:tcW w:w="4674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Periodo</w:t>
            </w:r>
          </w:p>
        </w:tc>
      </w:tr>
      <w:tr>
        <w:trPr/>
        <w:tc>
          <w:tcPr>
            <w:tcW w:w="46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Equipo Pizzache</w:t>
            </w:r>
          </w:p>
        </w:tc>
        <w:tc>
          <w:tcPr>
            <w:tcW w:w="46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2025–2028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aconcuadrcula"/>
        <w:tblW w:w="93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24"/>
        <w:gridCol w:w="7825"/>
      </w:tblGrid>
      <w:tr>
        <w:trPr>
          <w:trHeight w:val="1385" w:hRule="atLeast"/>
        </w:trPr>
        <w:tc>
          <w:tcPr>
            <w:tcW w:w="1524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Resumen ejecutivo</w:t>
            </w:r>
          </w:p>
        </w:tc>
        <w:tc>
          <w:tcPr>
            <w:tcW w:w="7825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Pizzache Corporation S.A. de C.V. es una empresa tecnológica mexicana del sector EdTech dedicada al desarrollo de software, aplicaciones móviles y soluciones digitales para instituciones educativas. Su propósito es transformar la educación mediante la innovación tecnológica, mejorando los procesos de enseñanza, aprendizaje y gestión académica.</w:t>
              <w:br/>
              <w:t>La empresa busca consolidarse como un referente en tecnología educativa, fortaleciendo alianzas con escuelas, universidades y centros de capacitación.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aconcuadrcula"/>
        <w:tblW w:w="93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24"/>
        <w:gridCol w:w="7825"/>
      </w:tblGrid>
      <w:tr>
        <w:trPr>
          <w:trHeight w:val="1385" w:hRule="atLeast"/>
        </w:trPr>
        <w:tc>
          <w:tcPr>
            <w:tcW w:w="1524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Visión</w:t>
            </w:r>
          </w:p>
        </w:tc>
        <w:tc>
          <w:tcPr>
            <w:tcW w:w="7825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/>
            </w:pPr>
            <w:r>
              <w:rPr>
                <w:color w:val="auto"/>
              </w:rPr>
              <w:t>Ser una empresa reconocida por su capacidad de innovación, calidad en el servicio y compromiso con la mejora continua del proceso de aprendizaje mediante herramientas digitales.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aconcuadrcula"/>
        <w:tblW w:w="93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24"/>
        <w:gridCol w:w="7825"/>
      </w:tblGrid>
      <w:tr>
        <w:trPr>
          <w:trHeight w:val="1385" w:hRule="atLeast"/>
        </w:trPr>
        <w:tc>
          <w:tcPr>
            <w:tcW w:w="1524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Misión</w:t>
            </w:r>
          </w:p>
        </w:tc>
        <w:tc>
          <w:tcPr>
            <w:tcW w:w="7825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Transformar la educación a través de la tecnología, ofreciendo soluciones digitales innovadoras que impulsen el aprendizaje y la conectividad, fomentando un entorno académico más accesible, eficiente y moderno.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t>SWOT Analysis</w:t>
      </w:r>
    </w:p>
    <w:tbl>
      <w:tblPr>
        <w:tblStyle w:val="Tablaconcuadrcula"/>
        <w:tblW w:w="93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37"/>
        <w:gridCol w:w="2337"/>
        <w:gridCol w:w="2338"/>
        <w:gridCol w:w="2337"/>
      </w:tblGrid>
      <w:tr>
        <w:trPr/>
        <w:tc>
          <w:tcPr>
            <w:tcW w:w="2337" w:type="dxa"/>
            <w:tcBorders/>
            <w:shd w:color="auto" w:fill="E7E6E6" w:themeFill="background2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External Factors</w:t>
            </w:r>
          </w:p>
        </w:tc>
        <w:tc>
          <w:tcPr>
            <w:tcW w:w="2337" w:type="dxa"/>
            <w:tcBorders/>
            <w:shd w:color="auto" w:fill="E7E6E6" w:themeFill="background2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Strengths</w:t>
            </w:r>
          </w:p>
        </w:tc>
        <w:tc>
          <w:tcPr>
            <w:tcW w:w="2338" w:type="dxa"/>
            <w:tcBorders/>
            <w:shd w:color="auto" w:fill="E7E6E6" w:themeFill="background2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Internal Factors</w:t>
            </w:r>
          </w:p>
        </w:tc>
        <w:tc>
          <w:tcPr>
            <w:tcW w:w="2337" w:type="dxa"/>
            <w:tcBorders/>
            <w:shd w:color="auto" w:fill="E7E6E6" w:themeFill="background2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Weaknesses</w:t>
            </w:r>
          </w:p>
        </w:tc>
      </w:tr>
      <w:tr>
        <w:trPr/>
        <w:tc>
          <w:tcPr>
            <w:tcW w:w="23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Alineación con los objetivos institucionales de la UAEMEX (innovación, digitalización y sostenibilidad).</w:t>
            </w:r>
          </w:p>
        </w:tc>
        <w:tc>
          <w:tcPr>
            <w:tcW w:w="23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Aplicación multiplataforma (Android/iOS) desarrollada con enfoque de accesibilidad y seguridad (login institucional).</w:t>
            </w:r>
          </w:p>
        </w:tc>
        <w:tc>
          <w:tcPr>
            <w:tcW w:w="23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Dependencia de la información institucional (horarios y planos) para mantener actualizada la app.</w:t>
            </w:r>
          </w:p>
        </w:tc>
        <w:tc>
          <w:tcPr>
            <w:tcW w:w="23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Puede generar errores o desactualización si no se recibe la información a tiempo.</w:t>
            </w:r>
          </w:p>
        </w:tc>
      </w:tr>
      <w:tr>
        <w:trPr/>
        <w:tc>
          <w:tcPr>
            <w:tcW w:w="23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Creciente demanda de soluciones EdTech en universidades mexicanas.</w:t>
            </w:r>
          </w:p>
        </w:tc>
        <w:tc>
          <w:tcPr>
            <w:tcW w:w="23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Equipo técnico con experiencia en desarrollo educativo y liderazgo claro (gerente de proyecto definido).</w:t>
            </w:r>
          </w:p>
        </w:tc>
        <w:tc>
          <w:tcPr>
            <w:tcW w:w="23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Recursos financieros limitados para mantenimiento y escalabilidad del sistema.</w:t>
            </w:r>
          </w:p>
        </w:tc>
        <w:tc>
          <w:tcPr>
            <w:tcW w:w="23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Podría afectar la continuidad del soporte técnico y las actualizaciones.</w:t>
            </w:r>
          </w:p>
        </w:tc>
      </w:tr>
      <w:tr>
        <w:trPr/>
        <w:tc>
          <w:tcPr>
            <w:tcW w:w="23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Avances tecnológicos en geolocalización que facilitan el desarrollo del proyecto.</w:t>
            </w:r>
          </w:p>
        </w:tc>
        <w:tc>
          <w:tcPr>
            <w:tcW w:w="23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Enfoque innovador que combina mapas 2D.</w:t>
            </w:r>
          </w:p>
        </w:tc>
        <w:tc>
          <w:tcPr>
            <w:tcW w:w="23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Experiencia limitada del equipo en el desarrollo y pruebas a gran escala.</w:t>
            </w:r>
          </w:p>
        </w:tc>
        <w:tc>
          <w:tcPr>
            <w:tcW w:w="23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Aumenta el riesgo de errores técnicos o tiempos extendidos de desarrollo.</w:t>
            </w:r>
          </w:p>
        </w:tc>
      </w:tr>
      <w:tr>
        <w:trPr/>
        <w:tc>
          <w:tcPr>
            <w:tcW w:w="23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Uso eficiente de recursos y metodología ágil que permite entregas en corto tiempo.</w:t>
            </w:r>
          </w:p>
        </w:tc>
        <w:tc>
          <w:tcPr>
            <w:tcW w:w="23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Fragmentación de dispositivos móviles entre los estudiantes.</w:t>
            </w:r>
          </w:p>
        </w:tc>
        <w:tc>
          <w:tcPr>
            <w:tcW w:w="23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Dificulta garantizar compatibilidad y rendimiento estable en todos los equipos.</w:t>
            </w:r>
          </w:p>
        </w:tc>
      </w:tr>
      <w:tr>
        <w:trPr/>
        <w:tc>
          <w:tcPr>
            <w:tcW w:w="23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Procesos internos de aprobación lentos por parte de la institución.</w:t>
            </w:r>
          </w:p>
        </w:tc>
        <w:tc>
          <w:tcPr>
            <w:tcW w:w="23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Retrasa la integración de datos o la publicación de nuevas versiones.</w:t>
            </w:r>
          </w:p>
        </w:tc>
      </w:tr>
      <w:tr>
        <w:trPr/>
        <w:tc>
          <w:tcPr>
            <w:tcW w:w="23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Falta de personal técnico dedicado exclusivamente al soporte continuo.</w:t>
            </w:r>
          </w:p>
        </w:tc>
        <w:tc>
          <w:tcPr>
            <w:tcW w:w="23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Podría afectar la atención oportuna de incidencias durante el uso de la app.</w:t>
            </w:r>
          </w:p>
        </w:tc>
      </w:tr>
      <w:tr>
        <w:trPr/>
        <w:tc>
          <w:tcPr>
            <w:tcW w:w="23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Documentación técnica y de usuario incompleta en versiones iniciales.</w:t>
            </w:r>
          </w:p>
        </w:tc>
        <w:tc>
          <w:tcPr>
            <w:tcW w:w="23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Complica el mantenimiento, capacitación y transferencia del proyecto.</w:t>
            </w:r>
          </w:p>
        </w:tc>
      </w:tr>
      <w:tr>
        <w:trPr/>
        <w:tc>
          <w:tcPr>
            <w:tcW w:w="23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Falta de políticas internas consolidadas sobre protección y manejo de datos personales.</w:t>
            </w:r>
          </w:p>
        </w:tc>
        <w:tc>
          <w:tcPr>
            <w:tcW w:w="23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Aumenta el riesgo de incumplimiento normativo o vulneración de privacidad.</w:t>
            </w:r>
          </w:p>
        </w:tc>
      </w:tr>
      <w:tr>
        <w:trPr/>
        <w:tc>
          <w:tcPr>
            <w:tcW w:w="2337" w:type="dxa"/>
            <w:tcBorders/>
            <w:shd w:color="auto" w:fill="E7E6E6" w:themeFill="background2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External factors</w:t>
            </w:r>
          </w:p>
        </w:tc>
        <w:tc>
          <w:tcPr>
            <w:tcW w:w="2337" w:type="dxa"/>
            <w:tcBorders/>
            <w:shd w:color="auto" w:fill="E7E6E6" w:themeFill="background2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Opportunities</w:t>
            </w:r>
          </w:p>
        </w:tc>
        <w:tc>
          <w:tcPr>
            <w:tcW w:w="2338" w:type="dxa"/>
            <w:tcBorders/>
            <w:shd w:color="auto" w:fill="E7E6E6" w:themeFill="background2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Internal Factors</w:t>
            </w:r>
          </w:p>
        </w:tc>
        <w:tc>
          <w:tcPr>
            <w:tcW w:w="2337" w:type="dxa"/>
            <w:tcBorders/>
            <w:shd w:color="auto" w:fill="E7E6E6" w:themeFill="background2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Threats</w:t>
            </w:r>
          </w:p>
        </w:tc>
      </w:tr>
      <w:tr>
        <w:trPr/>
        <w:tc>
          <w:tcPr>
            <w:tcW w:w="23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Expansión del sector EdTech en México y América Latina.</w:t>
            </w:r>
          </w:p>
        </w:tc>
        <w:tc>
          <w:tcPr>
            <w:tcW w:w="23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Capacidad de la empresa para posicionarse como referente en tecnología universitaria.</w:t>
            </w:r>
          </w:p>
        </w:tc>
        <w:tc>
          <w:tcPr>
            <w:tcW w:w="23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Resistencia al cambio por parte de algunos estudiantes o personal académico.</w:t>
            </w:r>
          </w:p>
        </w:tc>
        <w:tc>
          <w:tcPr>
            <w:tcW w:w="23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Podría limitar la adopción o el uso efectivo de la aplicación.</w:t>
            </w:r>
          </w:p>
        </w:tc>
      </w:tr>
      <w:tr>
        <w:trPr/>
        <w:tc>
          <w:tcPr>
            <w:tcW w:w="23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Posibilidad de escalar la app a otros campus de la UAEMEX o universidades asociadas.</w:t>
            </w:r>
          </w:p>
        </w:tc>
        <w:tc>
          <w:tcPr>
            <w:tcW w:w="23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Potencial de reutilizar componentes del software para nuevos proyectos educativos.</w:t>
            </w:r>
          </w:p>
        </w:tc>
        <w:tc>
          <w:tcPr>
            <w:tcW w:w="23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Problemas de conectividad Wi-Fi o de red móvil dentro del campus.</w:t>
            </w:r>
          </w:p>
        </w:tc>
        <w:tc>
          <w:tcPr>
            <w:tcW w:w="23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Reducen la funcionalidad en tiempo real y la precisión de la geolocalización.</w:t>
            </w:r>
          </w:p>
        </w:tc>
      </w:tr>
      <w:tr>
        <w:trPr/>
        <w:tc>
          <w:tcPr>
            <w:tcW w:w="23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Fortalecimiento de la imagen institucional mediante proyectos tecnológicos innovadores.</w:t>
            </w:r>
          </w:p>
        </w:tc>
        <w:tc>
          <w:tcPr>
            <w:tcW w:w="23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Mejora del portafolio de Pizzache Corporation con casos de éxito reales.</w:t>
            </w:r>
          </w:p>
        </w:tc>
        <w:tc>
          <w:tcPr>
            <w:tcW w:w="23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Competencia de aplicaciones externas o soluciones similares del mercado.</w:t>
            </w:r>
          </w:p>
        </w:tc>
        <w:tc>
          <w:tcPr>
            <w:tcW w:w="23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Puede afectar el posicionamiento y la diferenciación del proyecto.</w:t>
            </w:r>
          </w:p>
        </w:tc>
      </w:tr>
      <w:tr>
        <w:trPr/>
        <w:tc>
          <w:tcPr>
            <w:tcW w:w="23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Acceso a fondos de innovación educativa o alianzas con instituciones gubernamentales.</w:t>
            </w:r>
          </w:p>
        </w:tc>
        <w:tc>
          <w:tcPr>
            <w:tcW w:w="23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Posibles vulnerabilidades de seguridad o filtraciones de datos institucionales.</w:t>
            </w:r>
          </w:p>
        </w:tc>
        <w:tc>
          <w:tcPr>
            <w:tcW w:w="23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Impactan negativamente la confianza del usuario y la reputación institucional.</w:t>
            </w:r>
          </w:p>
        </w:tc>
      </w:tr>
      <w:tr>
        <w:trPr/>
        <w:tc>
          <w:tcPr>
            <w:tcW w:w="23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Cambios en políticas institucionales o presupuestos del CU UAEMEX Zumpango.</w:t>
            </w:r>
          </w:p>
        </w:tc>
        <w:tc>
          <w:tcPr>
            <w:tcW w:w="23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Ponen en riesgo la continuidad o expansión del proyecto.</w:t>
            </w:r>
          </w:p>
        </w:tc>
      </w:tr>
      <w:tr>
        <w:trPr/>
        <w:tc>
          <w:tcPr>
            <w:tcW w:w="23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Rápida obsolescencia tecnológica de librerías y frameworks móviles.</w:t>
            </w:r>
          </w:p>
        </w:tc>
        <w:tc>
          <w:tcPr>
            <w:tcW w:w="23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Obliga a realizar actualizaciones constantes para mantener compatibilidad.</w:t>
            </w:r>
          </w:p>
        </w:tc>
      </w:tr>
      <w:tr>
        <w:trPr/>
        <w:tc>
          <w:tcPr>
            <w:tcW w:w="23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Riesgos legales por el manejo de credenciales institucionales.</w:t>
            </w:r>
          </w:p>
        </w:tc>
        <w:tc>
          <w:tcPr>
            <w:tcW w:w="23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Requieren control y acuerdos formales para evitar sanciones o bloqueos.</w:t>
            </w:r>
          </w:p>
        </w:tc>
      </w:tr>
      <w:tr>
        <w:trPr/>
        <w:tc>
          <w:tcPr>
            <w:tcW w:w="23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Mala percepción inicial por fallos en la versión piloto o errores en el lanzamiento.</w:t>
            </w:r>
          </w:p>
        </w:tc>
        <w:tc>
          <w:tcPr>
            <w:tcW w:w="23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Puede afectar la credibilidad del proyecto y frenar la adopción posterior.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Tablaconcuadrcula"/>
        <w:tblW w:w="93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24"/>
        <w:gridCol w:w="7825"/>
      </w:tblGrid>
      <w:tr>
        <w:trPr>
          <w:trHeight w:val="1159" w:hRule="atLeast"/>
        </w:trPr>
        <w:tc>
          <w:tcPr>
            <w:tcW w:w="1524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Metas de negocio</w:t>
            </w:r>
          </w:p>
        </w:tc>
        <w:tc>
          <w:tcPr>
            <w:tcW w:w="7825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72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Desarrollar e implementar soluciones digitales que fortalezcan los procesos de enseñanza, aprendizaje y gestión académica en instituciones educativas.</w:t>
            </w:r>
          </w:p>
          <w:p>
            <w:pPr>
              <w:pStyle w:val="Normal"/>
              <w:widowControl/>
              <w:spacing w:lineRule="auto" w:line="240" w:before="0" w:after="0"/>
              <w:ind w:left="72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aconcuadrcula"/>
        <w:tblW w:w="93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24"/>
        <w:gridCol w:w="7825"/>
      </w:tblGrid>
      <w:tr>
        <w:trPr>
          <w:trHeight w:val="1385" w:hRule="atLeast"/>
        </w:trPr>
        <w:tc>
          <w:tcPr>
            <w:tcW w:w="1524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Plan de marketing</w:t>
            </w:r>
          </w:p>
        </w:tc>
        <w:tc>
          <w:tcPr>
            <w:tcW w:w="78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rmal"/>
              <w:widowControl/>
              <w:numPr>
                <w:ilvl w:val="0"/>
                <w:numId w:val="1"/>
              </w:numPr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eastAsia="en-US" w:bidi="ar-SA"/>
              </w:rPr>
              <w:t>Investigación:</w:t>
            </w: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 xml:space="preserve"> Identificación de necesidades digitales de escuelas y universidades.</w:t>
            </w:r>
          </w:p>
          <w:p>
            <w:pPr>
              <w:pStyle w:val="Normal"/>
              <w:widowControl/>
              <w:numPr>
                <w:ilvl w:val="0"/>
                <w:numId w:val="1"/>
              </w:numPr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eastAsia="en-US" w:bidi="ar-SA"/>
              </w:rPr>
              <w:t>Campañas:</w:t>
            </w: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 xml:space="preserve"> Promoción en redes sociales, ferias educativas y alianzas estratégicas con instituciones.</w:t>
            </w:r>
          </w:p>
          <w:p>
            <w:pPr>
              <w:pStyle w:val="Normal"/>
              <w:widowControl/>
              <w:numPr>
                <w:ilvl w:val="0"/>
                <w:numId w:val="1"/>
              </w:numPr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eastAsia="en-US" w:bidi="ar-SA"/>
              </w:rPr>
              <w:t>Indicadores (KPIs):</w:t>
            </w: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 xml:space="preserve"> Número de clientes nuevos, tasa de retención, tráfico web, participación en eventos.</w:t>
            </w:r>
          </w:p>
          <w:p>
            <w:pPr>
              <w:pStyle w:val="Normal"/>
              <w:widowControl/>
              <w:spacing w:lineRule="auto" w:line="240" w:before="0" w:after="0"/>
              <w:ind w:left="72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aconcuadrcula"/>
        <w:tblW w:w="93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24"/>
        <w:gridCol w:w="7825"/>
      </w:tblGrid>
      <w:tr>
        <w:trPr>
          <w:trHeight w:val="1385" w:hRule="atLeast"/>
        </w:trPr>
        <w:tc>
          <w:tcPr>
            <w:tcW w:w="1524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Plan operativo</w:t>
            </w:r>
          </w:p>
        </w:tc>
        <w:tc>
          <w:tcPr>
            <w:tcW w:w="78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rmal"/>
              <w:widowControl/>
              <w:numPr>
                <w:ilvl w:val="0"/>
                <w:numId w:val="2"/>
              </w:numPr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Diseñar y mantener plataformas educativas seguras y escalables.</w:t>
            </w:r>
          </w:p>
          <w:p>
            <w:pPr>
              <w:pStyle w:val="Normal"/>
              <w:widowControl/>
              <w:numPr>
                <w:ilvl w:val="0"/>
                <w:numId w:val="2"/>
              </w:numPr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Brindar soporte técnico y actualizaciones continuas.</w:t>
            </w:r>
          </w:p>
          <w:p>
            <w:pPr>
              <w:pStyle w:val="Normal"/>
              <w:widowControl/>
              <w:numPr>
                <w:ilvl w:val="0"/>
                <w:numId w:val="2"/>
              </w:numPr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Integrar sistemas académicos con herramientas administrativas.</w:t>
            </w:r>
          </w:p>
          <w:p>
            <w:pPr>
              <w:pStyle w:val="Normal"/>
              <w:widowControl/>
              <w:numPr>
                <w:ilvl w:val="0"/>
                <w:numId w:val="2"/>
              </w:numPr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Supervisar la satisfacción del cliente mediante encuestas trimestrales.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r>
          </w:p>
        </w:tc>
      </w:tr>
    </w:tbl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tbl>
      <w:tblPr>
        <w:tblStyle w:val="Tablaconcuadrcula"/>
        <w:tblW w:w="93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24"/>
        <w:gridCol w:w="7825"/>
      </w:tblGrid>
      <w:tr>
        <w:trPr>
          <w:trHeight w:val="1385" w:hRule="atLeast"/>
        </w:trPr>
        <w:tc>
          <w:tcPr>
            <w:tcW w:w="1524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 xml:space="preserve">Proyecciones financieras </w:t>
            </w:r>
          </w:p>
        </w:tc>
        <w:tc>
          <w:tcPr>
            <w:tcW w:w="7825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eastAsia="en-US" w:bidi="ar-SA"/>
              </w:rPr>
              <w:t>Ingresos esperados:</w:t>
            </w: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 xml:space="preserve"> Crecimiento proyectado del 25% anual.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eastAsia="en-US" w:bidi="ar-SA"/>
              </w:rPr>
              <w:t>Inversiones:</w:t>
            </w: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 xml:space="preserve"> Infraestructura tecnológica y capacitación del personal.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eastAsia="en-US" w:bidi="ar-SA"/>
              </w:rPr>
              <w:t>Recursos requeridos:</w:t>
            </w: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 xml:space="preserve"> Software y servidores.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aconcuadrcula"/>
        <w:tblW w:w="93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24"/>
        <w:gridCol w:w="7825"/>
      </w:tblGrid>
      <w:tr>
        <w:trPr>
          <w:trHeight w:val="1385" w:hRule="atLeast"/>
        </w:trPr>
        <w:tc>
          <w:tcPr>
            <w:tcW w:w="1524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Equipo</w:t>
            </w:r>
          </w:p>
        </w:tc>
        <w:tc>
          <w:tcPr>
            <w:tcW w:w="78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ListParagraph"/>
              <w:widowControl/>
              <w:spacing w:lineRule="auto" w:line="240" w:before="0" w:after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(Gerente del proyecto) Jessica Naomi Millan Sanchez</w:t>
            </w:r>
          </w:p>
          <w:p>
            <w:pPr>
              <w:pStyle w:val="ListParagraph"/>
              <w:widowControl/>
              <w:spacing w:lineRule="auto" w:line="240" w:before="0" w:after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Christopher Octavio Téllez Domínguez</w:t>
              <w:br/>
              <w:t>Jesus Enrique Lugo Ramirez</w:t>
            </w:r>
          </w:p>
        </w:tc>
      </w:tr>
    </w:tbl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440" w:right="1440" w:gutter="0" w:header="72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447925" cy="695325"/>
          <wp:effectExtent l="0" t="0" r="0" b="0"/>
          <wp:docPr id="1" name="Picture 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447925" cy="6953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447925" cy="695325"/>
          <wp:effectExtent l="0" t="0" r="0" b="0"/>
          <wp:docPr id="2" name="Picture 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447925" cy="6953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MX" w:eastAsia="en-US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EncabezadoCar" w:customStyle="1">
    <w:name w:val="Encabezado Car"/>
    <w:basedOn w:val="DefaultParagraphFont"/>
    <w:uiPriority w:val="99"/>
    <w:qFormat/>
    <w:rsid w:val="00ac047b"/>
    <w:rPr/>
  </w:style>
  <w:style w:type="character" w:styleId="PiedepginaCar" w:customStyle="1">
    <w:name w:val="Pie de página Car"/>
    <w:basedOn w:val="DefaultParagraphFont"/>
    <w:uiPriority w:val="99"/>
    <w:qFormat/>
    <w:rsid w:val="00ac047b"/>
    <w:rPr/>
  </w:style>
  <w:style w:type="character" w:styleId="Hyperlink">
    <w:name w:val="Hyperlink"/>
    <w:basedOn w:val="DefaultParagraphFont"/>
    <w:uiPriority w:val="99"/>
    <w:unhideWhenUsed/>
    <w:rsid w:val="006e1aa5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6e1aa5"/>
    <w:rPr>
      <w:color w:val="605E5C"/>
      <w:shd w:fill="E1DFDD" w:val="clear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ac047b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ac047b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fd5911"/>
    <w:pPr>
      <w:spacing w:before="0" w:after="160"/>
      <w:ind w:left="720"/>
      <w:contextualSpacing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fd591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7BA51C-BC11-4B0D-8EF9-11A684ED58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Application>LibreOffice/24.2.7.2$Linux_X86_64 LibreOffice_project/420$Build-2</Application>
  <AppVersion>15.0000</AppVersion>
  <Pages>4</Pages>
  <Words>765</Words>
  <Characters>5003</Characters>
  <CharactersWithSpaces>5670</CharactersWithSpaces>
  <Paragraphs>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2025-10-21T22:54:00Z</dcterms:created>
  <dc:creator>Peter</dc:creator>
  <dc:description/>
  <dc:language>es-MX</dc:language>
  <cp:lastModifiedBy/>
  <dcterms:modified xsi:type="dcterms:W3CDTF">2025-11-17T13:06:25Z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