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1D51" w14:textId="43E287BF" w:rsidR="00CA1CA4" w:rsidRPr="008F7A59" w:rsidRDefault="0091191A" w:rsidP="00CA1CA4">
      <w:pPr>
        <w:pStyle w:val="Heading2"/>
        <w:spacing w:after="120" w:line="276" w:lineRule="auto"/>
        <w:rPr>
          <w:rFonts w:cs="Arial"/>
        </w:rPr>
      </w:pPr>
      <w:bookmarkStart w:id="0" w:name="_Toc118194393"/>
      <w:r w:rsidRPr="008F7A59">
        <w:rPr>
          <w:rFonts w:cs="Arial"/>
        </w:rPr>
        <w:t>Meteorological Subsystem</w:t>
      </w:r>
      <w:bookmarkEnd w:id="0"/>
    </w:p>
    <w:p w14:paraId="4D398E8A" w14:textId="56A1A44D" w:rsidR="008C5F5A" w:rsidRPr="008C5F5A" w:rsidRDefault="008C5F5A" w:rsidP="008C5F5A">
      <w:pPr>
        <w:rPr>
          <w:rFonts w:cs="Arial"/>
          <w:lang w:val="en-US"/>
        </w:rPr>
      </w:pPr>
      <w:bookmarkStart w:id="1" w:name="_Toc38389601"/>
      <w:bookmarkStart w:id="2" w:name="_Toc108198135"/>
      <w:r w:rsidRPr="00A81559">
        <w:rPr>
          <w:rFonts w:cs="Arial"/>
        </w:rPr>
        <w:t xml:space="preserve">The </w:t>
      </w:r>
      <w:r>
        <w:rPr>
          <w:rFonts w:cs="Arial"/>
        </w:rPr>
        <w:t>mete</w:t>
      </w:r>
      <w:r w:rsidR="008348AA">
        <w:rPr>
          <w:rFonts w:cs="Arial"/>
        </w:rPr>
        <w:t>orological</w:t>
      </w:r>
      <w:r w:rsidRPr="00A81559">
        <w:rPr>
          <w:rFonts w:cs="Arial"/>
        </w:rPr>
        <w:t xml:space="preserve"> subsystem is represented </w:t>
      </w:r>
      <w:r>
        <w:rPr>
          <w:rFonts w:cs="Arial"/>
        </w:rPr>
        <w:t xml:space="preserve">by </w:t>
      </w:r>
      <w:r w:rsidR="008348AA">
        <w:rPr>
          <w:rFonts w:cs="Arial"/>
        </w:rPr>
        <w:t>meteorological</w:t>
      </w:r>
      <w:r>
        <w:rPr>
          <w:rFonts w:cs="Arial"/>
          <w:lang w:val="en-US"/>
        </w:rPr>
        <w:t xml:space="preserve"> processing software</w:t>
      </w:r>
      <w:r w:rsidR="008348AA">
        <w:rPr>
          <w:rFonts w:cs="Arial"/>
          <w:lang w:val="en-US"/>
        </w:rPr>
        <w:t xml:space="preserve"> connected to external data source</w:t>
      </w:r>
    </w:p>
    <w:p w14:paraId="0151C211" w14:textId="77777777" w:rsidR="008C5F5A" w:rsidRDefault="008C5F5A" w:rsidP="008C5F5A">
      <w:pPr>
        <w:pStyle w:val="Heading3"/>
        <w:rPr>
          <w:lang w:val="en-US"/>
        </w:rPr>
      </w:pPr>
      <w:bookmarkStart w:id="3" w:name="_Toc118194394"/>
      <w:proofErr w:type="spellStart"/>
      <w:r>
        <w:t>Meteo</w:t>
      </w:r>
      <w:proofErr w:type="spellEnd"/>
      <w:r>
        <w:t xml:space="preserve"> Data </w:t>
      </w:r>
      <w:r w:rsidRPr="0065032B">
        <w:t>representation</w:t>
      </w:r>
      <w:bookmarkEnd w:id="1"/>
      <w:bookmarkEnd w:id="2"/>
      <w:bookmarkEnd w:id="3"/>
    </w:p>
    <w:p w14:paraId="388EA69F" w14:textId="77777777" w:rsidR="008C5F5A" w:rsidRPr="008A0E4A" w:rsidRDefault="008C5F5A" w:rsidP="008C5F5A">
      <w:pPr>
        <w:spacing w:after="200" w:line="276" w:lineRule="auto"/>
        <w:ind w:firstLine="540"/>
        <w:rPr>
          <w:rFonts w:asciiTheme="minorHAnsi" w:hAnsiTheme="minorHAnsi" w:cstheme="minorHAnsi"/>
          <w:b/>
          <w:caps/>
          <w:sz w:val="26"/>
        </w:rPr>
      </w:pPr>
      <w:r>
        <w:rPr>
          <w:rFonts w:cs="Arial"/>
        </w:rPr>
        <w:t xml:space="preserve">For representation of </w:t>
      </w:r>
      <w:proofErr w:type="spellStart"/>
      <w:r>
        <w:rPr>
          <w:rFonts w:cs="Arial"/>
        </w:rPr>
        <w:t>Meteo</w:t>
      </w:r>
      <w:proofErr w:type="spellEnd"/>
      <w:r>
        <w:rPr>
          <w:rFonts w:cs="Arial"/>
        </w:rPr>
        <w:t xml:space="preserve"> Data received from </w:t>
      </w:r>
      <w:proofErr w:type="spellStart"/>
      <w:r>
        <w:rPr>
          <w:rFonts w:cs="Arial"/>
        </w:rPr>
        <w:t>Meteo</w:t>
      </w:r>
      <w:proofErr w:type="spellEnd"/>
      <w:r>
        <w:rPr>
          <w:rFonts w:cs="Arial"/>
        </w:rPr>
        <w:t xml:space="preserve"> sensor, Wartsila SW used in 2 components: Server SW and Client SW.</w:t>
      </w:r>
    </w:p>
    <w:p w14:paraId="539AEE30" w14:textId="77777777" w:rsidR="008C5F5A" w:rsidRDefault="008C5F5A" w:rsidP="008C5F5A">
      <w:pPr>
        <w:pStyle w:val="Heading4"/>
        <w:rPr>
          <w:lang w:val="en-US"/>
        </w:rPr>
      </w:pPr>
      <w:bookmarkStart w:id="4" w:name="_Toc38389602"/>
      <w:bookmarkStart w:id="5" w:name="_Toc108198136"/>
      <w:bookmarkStart w:id="6" w:name="_Toc118194395"/>
      <w:r>
        <w:t>Hydrometeorological Server (</w:t>
      </w:r>
      <w:proofErr w:type="spellStart"/>
      <w:r>
        <w:t>HMServer</w:t>
      </w:r>
      <w:proofErr w:type="spellEnd"/>
      <w:r>
        <w:t>)</w:t>
      </w:r>
      <w:bookmarkEnd w:id="4"/>
      <w:bookmarkEnd w:id="5"/>
      <w:bookmarkEnd w:id="6"/>
    </w:p>
    <w:p w14:paraId="79B0973A" w14:textId="77777777" w:rsidR="008C5F5A" w:rsidRPr="002301E8" w:rsidRDefault="008C5F5A" w:rsidP="008C5F5A">
      <w:pPr>
        <w:spacing w:after="200" w:line="276" w:lineRule="auto"/>
        <w:ind w:firstLine="540"/>
        <w:rPr>
          <w:rFonts w:cs="Arial"/>
        </w:rPr>
      </w:pPr>
      <w:r w:rsidRPr="00DD4874">
        <w:rPr>
          <w:rFonts w:cs="Arial"/>
        </w:rPr>
        <w:t>Hydrometeorological Server SW</w:t>
      </w:r>
      <w:r>
        <w:rPr>
          <w:rFonts w:cs="Arial"/>
        </w:rPr>
        <w:t xml:space="preserve"> is windows bases application that</w:t>
      </w:r>
      <w:r w:rsidRPr="002301E8">
        <w:rPr>
          <w:rFonts w:cs="Arial"/>
        </w:rPr>
        <w:t xml:space="preserve"> </w:t>
      </w:r>
      <w:r>
        <w:rPr>
          <w:rFonts w:cs="Arial"/>
        </w:rPr>
        <w:t xml:space="preserve">receives </w:t>
      </w:r>
      <w:r w:rsidRPr="00DD4874">
        <w:rPr>
          <w:rFonts w:cs="Arial"/>
        </w:rPr>
        <w:t xml:space="preserve">data </w:t>
      </w:r>
      <w:r>
        <w:rPr>
          <w:rFonts w:cs="Arial"/>
        </w:rPr>
        <w:t>from RS/IP converter by</w:t>
      </w:r>
      <w:r w:rsidRPr="00DD4874">
        <w:rPr>
          <w:rFonts w:cs="Arial"/>
        </w:rPr>
        <w:t xml:space="preserve"> TCP/IP</w:t>
      </w:r>
      <w:r>
        <w:rPr>
          <w:rFonts w:cs="Arial"/>
        </w:rPr>
        <w:t xml:space="preserve"> protocol, processing</w:t>
      </w:r>
      <w:r w:rsidRPr="00DD4874">
        <w:rPr>
          <w:rFonts w:cs="Arial"/>
        </w:rPr>
        <w:t xml:space="preserve"> and sends</w:t>
      </w:r>
      <w:r>
        <w:rPr>
          <w:rFonts w:cs="Arial"/>
        </w:rPr>
        <w:t xml:space="preserve"> to </w:t>
      </w:r>
      <w:r w:rsidRPr="00DD4874">
        <w:rPr>
          <w:rFonts w:cs="Arial"/>
        </w:rPr>
        <w:t>Operator Display Units</w:t>
      </w:r>
      <w:r>
        <w:rPr>
          <w:rFonts w:cs="Arial"/>
        </w:rPr>
        <w:t xml:space="preserve">. </w:t>
      </w:r>
    </w:p>
    <w:p w14:paraId="06A68C93" w14:textId="77777777" w:rsidR="008C5F5A" w:rsidRDefault="008C5F5A" w:rsidP="008C5F5A">
      <w:pPr>
        <w:keepNext/>
        <w:spacing w:after="200" w:line="276" w:lineRule="auto"/>
        <w:jc w:val="center"/>
      </w:pPr>
      <w:r>
        <w:rPr>
          <w:noProof/>
          <w:lang w:val="ru-RU"/>
        </w:rPr>
        <w:drawing>
          <wp:inline distT="0" distB="0" distL="0" distR="0" wp14:anchorId="2CAE2FE2" wp14:editId="316FCD0A">
            <wp:extent cx="2449195" cy="3197562"/>
            <wp:effectExtent l="0" t="0" r="8255" b="3175"/>
            <wp:docPr id="64564" name="Picture 64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335" cy="3265633"/>
                    </a:xfrm>
                    <a:prstGeom prst="rect">
                      <a:avLst/>
                    </a:prstGeom>
                    <a:noFill/>
                    <a:ln>
                      <a:noFill/>
                    </a:ln>
                  </pic:spPr>
                </pic:pic>
              </a:graphicData>
            </a:graphic>
          </wp:inline>
        </w:drawing>
      </w:r>
    </w:p>
    <w:p w14:paraId="3E6BAAA9" w14:textId="134D2AE4" w:rsidR="008C5F5A" w:rsidRDefault="008C5F5A" w:rsidP="008C5F5A">
      <w:pPr>
        <w:pStyle w:val="Caption"/>
        <w:jc w:val="center"/>
      </w:pPr>
      <w:bookmarkStart w:id="7" w:name="_Toc38389693"/>
      <w:bookmarkStart w:id="8" w:name="_Toc108102761"/>
      <w:bookmarkStart w:id="9" w:name="_Toc115453013"/>
      <w:r>
        <w:t xml:space="preserve">Figure </w:t>
      </w:r>
      <w:r>
        <w:fldChar w:fldCharType="begin"/>
      </w:r>
      <w:r>
        <w:instrText xml:space="preserve"> STYLEREF 1 \s </w:instrText>
      </w:r>
      <w:r>
        <w:fldChar w:fldCharType="separate"/>
      </w:r>
      <w:r w:rsidR="00E07A36">
        <w:rPr>
          <w:noProof/>
        </w:rPr>
        <w:t>3</w:t>
      </w:r>
      <w:r>
        <w:fldChar w:fldCharType="end"/>
      </w:r>
      <w:r>
        <w:noBreakHyphen/>
      </w:r>
      <w:r>
        <w:fldChar w:fldCharType="begin"/>
      </w:r>
      <w:r>
        <w:instrText xml:space="preserve"> SEQ Figure \* ARABIC \s 1 </w:instrText>
      </w:r>
      <w:r>
        <w:fldChar w:fldCharType="separate"/>
      </w:r>
      <w:r w:rsidR="00E07A36">
        <w:rPr>
          <w:noProof/>
        </w:rPr>
        <w:t>13</w:t>
      </w:r>
      <w:r>
        <w:fldChar w:fldCharType="end"/>
      </w:r>
      <w:r>
        <w:t xml:space="preserve"> - Hydrometeorological Server</w:t>
      </w:r>
      <w:bookmarkEnd w:id="7"/>
      <w:bookmarkEnd w:id="8"/>
      <w:bookmarkEnd w:id="9"/>
    </w:p>
    <w:p w14:paraId="437EE545" w14:textId="77777777" w:rsidR="008C5F5A" w:rsidRDefault="008C5F5A" w:rsidP="008C5F5A">
      <w:pPr>
        <w:pStyle w:val="Heading4"/>
      </w:pPr>
      <w:bookmarkStart w:id="10" w:name="_Toc38389603"/>
      <w:bookmarkStart w:id="11" w:name="_Toc108198137"/>
      <w:bookmarkStart w:id="12" w:name="_Toc118194396"/>
      <w:proofErr w:type="spellStart"/>
      <w:r>
        <w:t>Meteo</w:t>
      </w:r>
      <w:proofErr w:type="spellEnd"/>
      <w:r>
        <w:t xml:space="preserve"> Display Software Wartsila Remote Terminal</w:t>
      </w:r>
      <w:bookmarkEnd w:id="10"/>
      <w:bookmarkEnd w:id="11"/>
      <w:bookmarkEnd w:id="12"/>
    </w:p>
    <w:p w14:paraId="762E53AB" w14:textId="77777777" w:rsidR="008C5F5A" w:rsidRPr="000362F4" w:rsidRDefault="008C5F5A" w:rsidP="008C5F5A">
      <w:r>
        <w:t>Is a part of Navi Harbour software.</w:t>
      </w:r>
    </w:p>
    <w:p w14:paraId="6A4CAB86" w14:textId="77777777" w:rsidR="008C5F5A" w:rsidRPr="006E0FC5" w:rsidRDefault="008C5F5A" w:rsidP="008C5F5A">
      <w:pPr>
        <w:autoSpaceDE w:val="0"/>
        <w:autoSpaceDN w:val="0"/>
        <w:adjustRightInd w:val="0"/>
        <w:spacing w:after="0"/>
        <w:rPr>
          <w:rFonts w:eastAsia="MyriadPro-Regular" w:cs="Arial"/>
          <w:lang w:val="en-US"/>
        </w:rPr>
      </w:pPr>
      <w:r w:rsidRPr="006E0FC5">
        <w:rPr>
          <w:rFonts w:eastAsia="MyriadPro-Regular" w:cs="Arial"/>
          <w:lang w:val="en-US"/>
        </w:rPr>
        <w:t>The program interface includes the following components:</w:t>
      </w:r>
    </w:p>
    <w:p w14:paraId="1A5D1CCF" w14:textId="77777777" w:rsidR="008C5F5A" w:rsidRPr="006E0FC5" w:rsidRDefault="008C5F5A" w:rsidP="008C5F5A">
      <w:pPr>
        <w:autoSpaceDE w:val="0"/>
        <w:autoSpaceDN w:val="0"/>
        <w:adjustRightInd w:val="0"/>
        <w:spacing w:after="0"/>
        <w:rPr>
          <w:rFonts w:eastAsia="MyriadPro-Regular" w:cs="Arial"/>
          <w:lang w:val="en-US"/>
        </w:rPr>
      </w:pPr>
      <w:r w:rsidRPr="006E0FC5">
        <w:rPr>
          <w:rFonts w:eastAsia="MyriadPro-Regular" w:cs="Arial"/>
          <w:lang w:val="en-US"/>
        </w:rPr>
        <w:t>• Menu which contains a full list of program functions</w:t>
      </w:r>
    </w:p>
    <w:p w14:paraId="0126DE9C" w14:textId="77777777" w:rsidR="008C5F5A" w:rsidRPr="006E0FC5" w:rsidRDefault="008C5F5A" w:rsidP="008C5F5A">
      <w:pPr>
        <w:autoSpaceDE w:val="0"/>
        <w:autoSpaceDN w:val="0"/>
        <w:adjustRightInd w:val="0"/>
        <w:spacing w:after="0"/>
        <w:rPr>
          <w:rFonts w:eastAsia="MyriadPro-Regular" w:cs="Arial"/>
          <w:lang w:val="en-US"/>
        </w:rPr>
      </w:pPr>
      <w:r w:rsidRPr="006E0FC5">
        <w:rPr>
          <w:rFonts w:eastAsia="MyriadPro-Regular" w:cs="Arial"/>
          <w:lang w:val="en-US"/>
        </w:rPr>
        <w:t>• Information panels which show numeric data</w:t>
      </w:r>
    </w:p>
    <w:p w14:paraId="4B36BCFF" w14:textId="77777777" w:rsidR="008C5F5A" w:rsidRDefault="008C5F5A" w:rsidP="008C5F5A">
      <w:pPr>
        <w:autoSpaceDE w:val="0"/>
        <w:autoSpaceDN w:val="0"/>
        <w:adjustRightInd w:val="0"/>
        <w:spacing w:after="0"/>
        <w:rPr>
          <w:rFonts w:eastAsia="MyriadPro-Regular" w:cs="Arial"/>
          <w:lang w:val="en-US"/>
        </w:rPr>
      </w:pPr>
      <w:r w:rsidRPr="006E0FC5">
        <w:rPr>
          <w:rFonts w:eastAsia="MyriadPro-Regular" w:cs="Arial"/>
          <w:lang w:val="en-US"/>
        </w:rPr>
        <w:t xml:space="preserve">• Status bar which contains information on the operation of connected equipment, name of the operator on watch, current </w:t>
      </w:r>
      <w:proofErr w:type="gramStart"/>
      <w:r w:rsidRPr="006E0FC5">
        <w:rPr>
          <w:rFonts w:eastAsia="MyriadPro-Regular" w:cs="Arial"/>
          <w:lang w:val="en-US"/>
        </w:rPr>
        <w:t>date</w:t>
      </w:r>
      <w:proofErr w:type="gramEnd"/>
      <w:r w:rsidRPr="006E0FC5">
        <w:rPr>
          <w:rFonts w:eastAsia="MyriadPro-Regular" w:cs="Arial"/>
          <w:lang w:val="en-US"/>
        </w:rPr>
        <w:t xml:space="preserve"> and time</w:t>
      </w:r>
    </w:p>
    <w:p w14:paraId="440A4243" w14:textId="77777777" w:rsidR="008C5F5A" w:rsidRDefault="008C5F5A" w:rsidP="008C5F5A">
      <w:pPr>
        <w:autoSpaceDE w:val="0"/>
        <w:autoSpaceDN w:val="0"/>
        <w:adjustRightInd w:val="0"/>
        <w:spacing w:after="0"/>
        <w:rPr>
          <w:rFonts w:eastAsia="MyriadPro-Regular" w:cs="Arial"/>
          <w:color w:val="000000"/>
          <w:lang w:val="en-US"/>
        </w:rPr>
      </w:pPr>
      <w:r w:rsidRPr="006E0FC5">
        <w:rPr>
          <w:rFonts w:eastAsia="MyriadPro-Regular" w:cs="Arial"/>
          <w:color w:val="000000"/>
          <w:lang w:val="en-US"/>
        </w:rPr>
        <w:t xml:space="preserve">Choose the </w:t>
      </w:r>
      <w:r w:rsidRPr="006E0FC5">
        <w:rPr>
          <w:rFonts w:eastAsia="MyriadPro-Regular" w:cs="Arial"/>
          <w:b/>
          <w:bCs/>
          <w:color w:val="00009A"/>
          <w:lang w:val="en-US"/>
        </w:rPr>
        <w:t xml:space="preserve">Sensor &gt; Weather station </w:t>
      </w:r>
      <w:r w:rsidRPr="006E0FC5">
        <w:rPr>
          <w:rFonts w:eastAsia="MyriadPro-Regular" w:cs="Arial"/>
          <w:color w:val="000000"/>
          <w:lang w:val="en-US"/>
        </w:rPr>
        <w:t xml:space="preserve">menu item. The </w:t>
      </w:r>
      <w:r w:rsidRPr="006E0FC5">
        <w:rPr>
          <w:rFonts w:eastAsia="MyriadPro-Regular" w:cs="Arial"/>
          <w:b/>
          <w:bCs/>
          <w:color w:val="000000"/>
          <w:lang w:val="en-US"/>
        </w:rPr>
        <w:t xml:space="preserve">Weather Data </w:t>
      </w:r>
      <w:r w:rsidRPr="006E0FC5">
        <w:rPr>
          <w:rFonts w:eastAsia="MyriadPro-Regular" w:cs="Arial"/>
          <w:color w:val="000000"/>
          <w:lang w:val="en-US"/>
        </w:rPr>
        <w:t xml:space="preserve">window </w:t>
      </w:r>
      <w:proofErr w:type="gramStart"/>
      <w:r w:rsidRPr="006E0FC5">
        <w:rPr>
          <w:rFonts w:eastAsia="MyriadPro-Regular" w:cs="Arial"/>
          <w:color w:val="000000"/>
          <w:lang w:val="en-US"/>
        </w:rPr>
        <w:t>opens up</w:t>
      </w:r>
      <w:proofErr w:type="gramEnd"/>
      <w:r w:rsidRPr="006E0FC5">
        <w:rPr>
          <w:rFonts w:eastAsia="MyriadPro-Regular" w:cs="Arial"/>
          <w:color w:val="000000"/>
          <w:lang w:val="en-US"/>
        </w:rPr>
        <w:t>:</w:t>
      </w:r>
    </w:p>
    <w:p w14:paraId="589CD303" w14:textId="77777777" w:rsidR="008C5F5A" w:rsidRDefault="008C5F5A" w:rsidP="008C5F5A">
      <w:pPr>
        <w:autoSpaceDE w:val="0"/>
        <w:autoSpaceDN w:val="0"/>
        <w:adjustRightInd w:val="0"/>
        <w:spacing w:after="0"/>
        <w:rPr>
          <w:rFonts w:eastAsia="MyriadPro-Regular" w:cs="Arial"/>
          <w:color w:val="000000"/>
          <w:lang w:val="en-US"/>
        </w:rPr>
      </w:pPr>
    </w:p>
    <w:p w14:paraId="13580FA8" w14:textId="77777777" w:rsidR="008C5F5A" w:rsidRPr="006E0FC5" w:rsidRDefault="008C5F5A" w:rsidP="008C5F5A">
      <w:pPr>
        <w:autoSpaceDE w:val="0"/>
        <w:autoSpaceDN w:val="0"/>
        <w:adjustRightInd w:val="0"/>
        <w:spacing w:after="0"/>
        <w:jc w:val="center"/>
        <w:rPr>
          <w:rFonts w:eastAsia="MyriadPro-Regular" w:cs="Arial"/>
          <w:lang w:val="en-US"/>
        </w:rPr>
      </w:pPr>
      <w:r w:rsidRPr="006E0FC5">
        <w:rPr>
          <w:rFonts w:eastAsia="MyriadPro-Regular" w:cs="Arial"/>
          <w:noProof/>
          <w:lang w:val="en-US"/>
        </w:rPr>
        <w:lastRenderedPageBreak/>
        <w:drawing>
          <wp:inline distT="0" distB="0" distL="0" distR="0" wp14:anchorId="2919CD9A" wp14:editId="5DF16609">
            <wp:extent cx="5570539" cy="1116280"/>
            <wp:effectExtent l="0" t="0" r="0" b="8255"/>
            <wp:docPr id="64565" name="Рисунок 64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0517" cy="1138319"/>
                    </a:xfrm>
                    <a:prstGeom prst="rect">
                      <a:avLst/>
                    </a:prstGeom>
                    <a:noFill/>
                    <a:ln>
                      <a:noFill/>
                    </a:ln>
                  </pic:spPr>
                </pic:pic>
              </a:graphicData>
            </a:graphic>
          </wp:inline>
        </w:drawing>
      </w:r>
    </w:p>
    <w:p w14:paraId="345D5349" w14:textId="3C7D9E8C" w:rsidR="008C5F5A" w:rsidRDefault="008C5F5A" w:rsidP="008C5F5A">
      <w:pPr>
        <w:pStyle w:val="Caption"/>
        <w:jc w:val="center"/>
        <w:rPr>
          <w:lang w:val="en-US"/>
        </w:rPr>
      </w:pPr>
      <w:bookmarkStart w:id="13" w:name="_Toc38389694"/>
      <w:bookmarkStart w:id="14" w:name="_Toc108102762"/>
      <w:bookmarkStart w:id="15" w:name="_Toc115453014"/>
      <w:r>
        <w:t xml:space="preserve">Figure </w:t>
      </w:r>
      <w:r>
        <w:fldChar w:fldCharType="begin"/>
      </w:r>
      <w:r>
        <w:instrText xml:space="preserve"> STYLEREF 1 \s </w:instrText>
      </w:r>
      <w:r>
        <w:fldChar w:fldCharType="separate"/>
      </w:r>
      <w:r w:rsidR="00E07A36">
        <w:rPr>
          <w:noProof/>
        </w:rPr>
        <w:t>3</w:t>
      </w:r>
      <w:r>
        <w:fldChar w:fldCharType="end"/>
      </w:r>
      <w:r>
        <w:noBreakHyphen/>
      </w:r>
      <w:r>
        <w:fldChar w:fldCharType="begin"/>
      </w:r>
      <w:r>
        <w:instrText xml:space="preserve"> SEQ Figure \* ARABIC \s 1 </w:instrText>
      </w:r>
      <w:r>
        <w:fldChar w:fldCharType="separate"/>
      </w:r>
      <w:r w:rsidR="00E07A36">
        <w:rPr>
          <w:noProof/>
        </w:rPr>
        <w:t>14</w:t>
      </w:r>
      <w:r>
        <w:fldChar w:fldCharType="end"/>
      </w:r>
      <w:r>
        <w:t xml:space="preserve"> – </w:t>
      </w:r>
      <w:r>
        <w:rPr>
          <w:lang w:val="en-US"/>
        </w:rPr>
        <w:t>Weather Data menu</w:t>
      </w:r>
      <w:bookmarkEnd w:id="13"/>
      <w:bookmarkEnd w:id="14"/>
      <w:bookmarkEnd w:id="15"/>
    </w:p>
    <w:p w14:paraId="277E7CAF" w14:textId="77777777" w:rsidR="008C5F5A" w:rsidRDefault="008C5F5A" w:rsidP="008C5F5A">
      <w:pPr>
        <w:rPr>
          <w:rFonts w:eastAsia="MyriadPro-Regular" w:cs="Arial"/>
          <w:szCs w:val="17"/>
          <w:lang w:val="en-US"/>
        </w:rPr>
      </w:pPr>
      <w:r w:rsidRPr="006E0FC5">
        <w:rPr>
          <w:rFonts w:eastAsia="MyriadPro-Regular" w:cs="Arial"/>
          <w:szCs w:val="17"/>
          <w:lang w:val="en-US"/>
        </w:rPr>
        <w:t>To view parameter details, expand the plus button at the right of the parameter name</w:t>
      </w:r>
      <w:r>
        <w:rPr>
          <w:rFonts w:eastAsia="MyriadPro-Regular" w:cs="Arial"/>
          <w:szCs w:val="17"/>
          <w:lang w:val="en-US"/>
        </w:rPr>
        <w:t>:</w:t>
      </w:r>
    </w:p>
    <w:p w14:paraId="3A820377" w14:textId="77777777" w:rsidR="008C5F5A" w:rsidRDefault="008C5F5A" w:rsidP="008C5F5A">
      <w:pPr>
        <w:jc w:val="center"/>
        <w:rPr>
          <w:rFonts w:cs="Arial"/>
          <w:sz w:val="24"/>
          <w:lang w:val="en-US"/>
        </w:rPr>
      </w:pPr>
      <w:r w:rsidRPr="006E0FC5">
        <w:rPr>
          <w:rFonts w:cs="Arial"/>
          <w:noProof/>
          <w:sz w:val="24"/>
          <w:lang w:val="en-US"/>
        </w:rPr>
        <w:drawing>
          <wp:inline distT="0" distB="0" distL="0" distR="0" wp14:anchorId="10E43FFD" wp14:editId="1F7782C9">
            <wp:extent cx="4952011" cy="2468385"/>
            <wp:effectExtent l="0" t="0" r="1270" b="8255"/>
            <wp:docPr id="64566" name="Рисунок 64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2451" cy="2478574"/>
                    </a:xfrm>
                    <a:prstGeom prst="rect">
                      <a:avLst/>
                    </a:prstGeom>
                    <a:noFill/>
                    <a:ln>
                      <a:noFill/>
                    </a:ln>
                  </pic:spPr>
                </pic:pic>
              </a:graphicData>
            </a:graphic>
          </wp:inline>
        </w:drawing>
      </w:r>
    </w:p>
    <w:p w14:paraId="28CBC76C" w14:textId="7FBCD5D2" w:rsidR="008C5F5A" w:rsidRDefault="008C5F5A" w:rsidP="008C5F5A">
      <w:pPr>
        <w:pStyle w:val="Caption"/>
        <w:jc w:val="center"/>
        <w:rPr>
          <w:lang w:val="en-US"/>
        </w:rPr>
      </w:pPr>
      <w:bookmarkStart w:id="16" w:name="_Toc38389695"/>
      <w:bookmarkStart w:id="17" w:name="_Toc108102763"/>
      <w:bookmarkStart w:id="18" w:name="_Toc115453015"/>
      <w:r>
        <w:t xml:space="preserve">Figure </w:t>
      </w:r>
      <w:r>
        <w:fldChar w:fldCharType="begin"/>
      </w:r>
      <w:r>
        <w:instrText xml:space="preserve"> STYLEREF 1 \s </w:instrText>
      </w:r>
      <w:r>
        <w:fldChar w:fldCharType="separate"/>
      </w:r>
      <w:r w:rsidR="00E07A36">
        <w:rPr>
          <w:noProof/>
        </w:rPr>
        <w:t>3</w:t>
      </w:r>
      <w:r>
        <w:fldChar w:fldCharType="end"/>
      </w:r>
      <w:r>
        <w:noBreakHyphen/>
      </w:r>
      <w:r>
        <w:fldChar w:fldCharType="begin"/>
      </w:r>
      <w:r>
        <w:instrText xml:space="preserve"> SEQ Figure \* ARABIC \s 1 </w:instrText>
      </w:r>
      <w:r>
        <w:fldChar w:fldCharType="separate"/>
      </w:r>
      <w:r w:rsidR="00E07A36">
        <w:rPr>
          <w:noProof/>
        </w:rPr>
        <w:t>15</w:t>
      </w:r>
      <w:r>
        <w:fldChar w:fldCharType="end"/>
      </w:r>
      <w:r>
        <w:t xml:space="preserve"> –</w:t>
      </w:r>
      <w:r>
        <w:rPr>
          <w:lang w:val="en-US"/>
        </w:rPr>
        <w:t>Expanded Weather Data menu</w:t>
      </w:r>
      <w:bookmarkEnd w:id="16"/>
      <w:bookmarkEnd w:id="17"/>
      <w:bookmarkEnd w:id="18"/>
    </w:p>
    <w:sectPr w:rsidR="008C5F5A"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CA72A" w14:textId="77777777" w:rsidR="005A1F1E" w:rsidRDefault="005A1F1E">
      <w:pPr>
        <w:spacing w:after="0"/>
      </w:pPr>
      <w:r>
        <w:separator/>
      </w:r>
    </w:p>
  </w:endnote>
  <w:endnote w:type="continuationSeparator" w:id="0">
    <w:p w14:paraId="367202B2" w14:textId="77777777" w:rsidR="005A1F1E" w:rsidRDefault="005A1F1E">
      <w:pPr>
        <w:spacing w:after="0"/>
      </w:pPr>
      <w:r>
        <w:continuationSeparator/>
      </w:r>
    </w:p>
  </w:endnote>
  <w:endnote w:type="continuationNotice" w:id="1">
    <w:p w14:paraId="3D10210C" w14:textId="77777777" w:rsidR="005A1F1E" w:rsidRDefault="005A1F1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 w:name="MyriadPro-Regular">
    <w:altName w:val="MS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DD354" w14:textId="77777777" w:rsidR="005A1F1E" w:rsidRDefault="005A1F1E">
      <w:pPr>
        <w:spacing w:after="0"/>
      </w:pPr>
      <w:r>
        <w:separator/>
      </w:r>
    </w:p>
  </w:footnote>
  <w:footnote w:type="continuationSeparator" w:id="0">
    <w:p w14:paraId="7C8DCDDD" w14:textId="77777777" w:rsidR="005A1F1E" w:rsidRDefault="005A1F1E">
      <w:pPr>
        <w:spacing w:after="0"/>
      </w:pPr>
      <w:r>
        <w:continuationSeparator/>
      </w:r>
    </w:p>
  </w:footnote>
  <w:footnote w:type="continuationNotice" w:id="1">
    <w:p w14:paraId="429601A3" w14:textId="77777777" w:rsidR="005A1F1E" w:rsidRDefault="005A1F1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97C3F"/>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3959"/>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2E1F"/>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28DE"/>
    <w:rsid w:val="00584EC0"/>
    <w:rsid w:val="005866AB"/>
    <w:rsid w:val="00591133"/>
    <w:rsid w:val="005928F0"/>
    <w:rsid w:val="0059536C"/>
    <w:rsid w:val="005A197C"/>
    <w:rsid w:val="005A1F1E"/>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57BF"/>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6919"/>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155"/>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B6DA4"/>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29"/>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2F94"/>
    <w:rsid w:val="00A74E07"/>
    <w:rsid w:val="00A76130"/>
    <w:rsid w:val="00A7620A"/>
    <w:rsid w:val="00A81559"/>
    <w:rsid w:val="00A833A2"/>
    <w:rsid w:val="00A84256"/>
    <w:rsid w:val="00A85740"/>
    <w:rsid w:val="00A90D35"/>
    <w:rsid w:val="00A90E5B"/>
    <w:rsid w:val="00A916F6"/>
    <w:rsid w:val="00A92A0C"/>
    <w:rsid w:val="00A94ABB"/>
    <w:rsid w:val="00A94D4B"/>
    <w:rsid w:val="00A95200"/>
    <w:rsid w:val="00A96422"/>
    <w:rsid w:val="00A96B15"/>
    <w:rsid w:val="00AA0E71"/>
    <w:rsid w:val="00AA10DF"/>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0EC2"/>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3.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1106</Characters>
  <Application>Microsoft Office Word</Application>
  <DocSecurity>0</DocSecurity>
  <Lines>9</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1297</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2</cp:revision>
  <cp:lastPrinted>2022-09-30T16:07:00Z</cp:lastPrinted>
  <dcterms:created xsi:type="dcterms:W3CDTF">2022-11-23T09:39:00Z</dcterms:created>
  <dcterms:modified xsi:type="dcterms:W3CDTF">2022-11-23T09:39:00Z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