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8F84" w14:textId="399F3B1A" w:rsidR="005260FC" w:rsidRPr="00935B27" w:rsidRDefault="003E235F" w:rsidP="005260FC">
      <w:pPr>
        <w:pStyle w:val="Heading2"/>
        <w:rPr>
          <w:rFonts w:cs="Arial"/>
        </w:rPr>
      </w:pPr>
      <w:bookmarkStart w:id="0" w:name="_Toc118194359"/>
      <w:r w:rsidRPr="00935B27">
        <w:rPr>
          <w:rFonts w:cs="Arial"/>
        </w:rPr>
        <w:t>Ocean Gate</w:t>
      </w:r>
      <w:r w:rsidR="00F20027" w:rsidRPr="00935B27">
        <w:rPr>
          <w:rFonts w:cs="Arial"/>
        </w:rPr>
        <w:t xml:space="preserve"> Control Centre</w:t>
      </w:r>
      <w:bookmarkEnd w:id="0"/>
    </w:p>
    <w:p w14:paraId="782614A7" w14:textId="38FAF3E1" w:rsidR="00F20027" w:rsidRPr="00A81559" w:rsidRDefault="003E235F" w:rsidP="00F20027">
      <w:pPr>
        <w:rPr>
          <w:rFonts w:cs="Arial"/>
        </w:rPr>
      </w:pPr>
      <w:r>
        <w:rPr>
          <w:rFonts w:cs="Arial"/>
        </w:rPr>
        <w:t>Ocean Gate</w:t>
      </w:r>
      <w:r w:rsidR="00F20027" w:rsidRPr="00A81559">
        <w:rPr>
          <w:rFonts w:cs="Arial"/>
        </w:rPr>
        <w:t xml:space="preserve"> Control Centre </w:t>
      </w:r>
      <w:r w:rsidR="005E4E6F" w:rsidRPr="00A81559">
        <w:rPr>
          <w:rFonts w:cs="Arial"/>
        </w:rPr>
        <w:t xml:space="preserve">VTS </w:t>
      </w:r>
      <w:r w:rsidR="00F20027" w:rsidRPr="00A81559">
        <w:rPr>
          <w:rFonts w:cs="Arial"/>
        </w:rPr>
        <w:t>equipment configuration includes:</w:t>
      </w:r>
    </w:p>
    <w:p w14:paraId="3F835ADA" w14:textId="5BD9C055" w:rsidR="00F20027" w:rsidRPr="00A81559" w:rsidRDefault="005E4E6F" w:rsidP="00F20027">
      <w:pPr>
        <w:pStyle w:val="Heading5Unnumbered"/>
        <w:rPr>
          <w:rFonts w:cs="Arial"/>
        </w:rPr>
      </w:pPr>
      <w:r w:rsidRPr="00A81559">
        <w:rPr>
          <w:rFonts w:cs="Arial"/>
        </w:rPr>
        <w:t xml:space="preserve">VTS </w:t>
      </w:r>
      <w:r w:rsidR="00F20027" w:rsidRPr="00A81559">
        <w:rPr>
          <w:rFonts w:cs="Arial"/>
        </w:rPr>
        <w:t>Processing Core</w:t>
      </w:r>
    </w:p>
    <w:p w14:paraId="04A427D7" w14:textId="3E79C7FF" w:rsidR="00F20027" w:rsidRDefault="00305CC7" w:rsidP="00F20027">
      <w:pPr>
        <w:pStyle w:val="ListBulletAlternative"/>
        <w:spacing w:after="120" w:line="276" w:lineRule="auto"/>
        <w:rPr>
          <w:rFonts w:cs="Arial"/>
        </w:rPr>
      </w:pPr>
      <w:r>
        <w:rPr>
          <w:rFonts w:cs="Arial"/>
        </w:rPr>
        <w:t xml:space="preserve">2 x System </w:t>
      </w:r>
      <w:proofErr w:type="gramStart"/>
      <w:r>
        <w:rPr>
          <w:rFonts w:cs="Arial"/>
        </w:rPr>
        <w:t>Server</w:t>
      </w:r>
      <w:r w:rsidR="0020276F" w:rsidRPr="00A81559">
        <w:rPr>
          <w:rFonts w:cs="Arial"/>
        </w:rPr>
        <w:t>;</w:t>
      </w:r>
      <w:proofErr w:type="gramEnd"/>
    </w:p>
    <w:p w14:paraId="7DE4FC63" w14:textId="10ED739B" w:rsidR="00305CC7" w:rsidRDefault="00305CC7" w:rsidP="00F20027">
      <w:pPr>
        <w:pStyle w:val="ListBulletAlternative"/>
        <w:spacing w:after="120" w:line="276" w:lineRule="auto"/>
        <w:rPr>
          <w:rFonts w:cs="Arial"/>
        </w:rPr>
      </w:pPr>
      <w:r>
        <w:rPr>
          <w:rFonts w:cs="Arial"/>
        </w:rPr>
        <w:t xml:space="preserve">2 x Database </w:t>
      </w:r>
      <w:proofErr w:type="gramStart"/>
      <w:r>
        <w:rPr>
          <w:rFonts w:cs="Arial"/>
        </w:rPr>
        <w:t>Server;</w:t>
      </w:r>
      <w:proofErr w:type="gramEnd"/>
    </w:p>
    <w:p w14:paraId="32EFE6DB" w14:textId="7AE5433B" w:rsidR="00305CC7" w:rsidRDefault="00305CC7" w:rsidP="00F20027">
      <w:pPr>
        <w:pStyle w:val="ListBulletAlternative"/>
        <w:spacing w:after="120" w:line="276" w:lineRule="auto"/>
        <w:rPr>
          <w:rFonts w:cs="Arial"/>
        </w:rPr>
      </w:pPr>
      <w:r>
        <w:rPr>
          <w:rFonts w:cs="Arial"/>
        </w:rPr>
        <w:t xml:space="preserve">Recording </w:t>
      </w:r>
      <w:proofErr w:type="gramStart"/>
      <w:r>
        <w:rPr>
          <w:rFonts w:cs="Arial"/>
        </w:rPr>
        <w:t>Server;</w:t>
      </w:r>
      <w:proofErr w:type="gramEnd"/>
    </w:p>
    <w:p w14:paraId="6ACAD3BD" w14:textId="202721BD" w:rsidR="00305CC7" w:rsidRDefault="00305CC7" w:rsidP="00F20027">
      <w:pPr>
        <w:pStyle w:val="ListBulletAlternative"/>
        <w:spacing w:after="120" w:line="276" w:lineRule="auto"/>
        <w:rPr>
          <w:rFonts w:cs="Arial"/>
        </w:rPr>
      </w:pPr>
      <w:r>
        <w:rPr>
          <w:rFonts w:cs="Arial"/>
        </w:rPr>
        <w:t xml:space="preserve">Video Recording </w:t>
      </w:r>
      <w:proofErr w:type="gramStart"/>
      <w:r>
        <w:rPr>
          <w:rFonts w:cs="Arial"/>
        </w:rPr>
        <w:t>Server;</w:t>
      </w:r>
      <w:proofErr w:type="gramEnd"/>
    </w:p>
    <w:p w14:paraId="5593721A" w14:textId="498BB51B" w:rsidR="00305CC7" w:rsidRDefault="00734AF8" w:rsidP="00F20027">
      <w:pPr>
        <w:pStyle w:val="ListBulletAlternative"/>
        <w:spacing w:after="120" w:line="276" w:lineRule="auto"/>
        <w:rPr>
          <w:rFonts w:cs="Arial"/>
        </w:rPr>
      </w:pPr>
      <w:proofErr w:type="spellStart"/>
      <w:r>
        <w:rPr>
          <w:rFonts w:cs="Arial"/>
        </w:rPr>
        <w:t>Meteo</w:t>
      </w:r>
      <w:proofErr w:type="spellEnd"/>
      <w:r>
        <w:rPr>
          <w:rFonts w:cs="Arial"/>
        </w:rPr>
        <w:t xml:space="preserve"> </w:t>
      </w:r>
      <w:proofErr w:type="gramStart"/>
      <w:r>
        <w:rPr>
          <w:rFonts w:cs="Arial"/>
        </w:rPr>
        <w:t>Server;</w:t>
      </w:r>
      <w:proofErr w:type="gramEnd"/>
    </w:p>
    <w:p w14:paraId="5F656DD0" w14:textId="3774E89A" w:rsidR="00734AF8" w:rsidRDefault="00734AF8" w:rsidP="00F20027">
      <w:pPr>
        <w:pStyle w:val="ListBulletAlternative"/>
        <w:spacing w:after="120" w:line="276" w:lineRule="auto"/>
        <w:rPr>
          <w:rFonts w:cs="Arial"/>
        </w:rPr>
      </w:pPr>
      <w:r>
        <w:rPr>
          <w:rFonts w:cs="Arial"/>
        </w:rPr>
        <w:t xml:space="preserve">RDF </w:t>
      </w:r>
      <w:proofErr w:type="gramStart"/>
      <w:r>
        <w:rPr>
          <w:rFonts w:cs="Arial"/>
        </w:rPr>
        <w:t>Server;</w:t>
      </w:r>
      <w:proofErr w:type="gramEnd"/>
    </w:p>
    <w:p w14:paraId="3B9852CD" w14:textId="2C9ABBA3" w:rsidR="00734AF8" w:rsidRDefault="00734AF8" w:rsidP="00F20027">
      <w:pPr>
        <w:pStyle w:val="ListBulletAlternative"/>
        <w:spacing w:after="120" w:line="276" w:lineRule="auto"/>
        <w:rPr>
          <w:rFonts w:cs="Arial"/>
        </w:rPr>
      </w:pPr>
      <w:r>
        <w:rPr>
          <w:rFonts w:cs="Arial"/>
        </w:rPr>
        <w:t xml:space="preserve">CCTV </w:t>
      </w:r>
      <w:proofErr w:type="gramStart"/>
      <w:r>
        <w:rPr>
          <w:rFonts w:cs="Arial"/>
        </w:rPr>
        <w:t>Server;</w:t>
      </w:r>
      <w:proofErr w:type="gramEnd"/>
    </w:p>
    <w:p w14:paraId="4442A4B1" w14:textId="26C63049" w:rsidR="00734AF8" w:rsidRDefault="00734AF8" w:rsidP="00F20027">
      <w:pPr>
        <w:pStyle w:val="ListBulletAlternative"/>
        <w:spacing w:after="120" w:line="276" w:lineRule="auto"/>
        <w:rPr>
          <w:rFonts w:cs="Arial"/>
        </w:rPr>
      </w:pPr>
      <w:r>
        <w:rPr>
          <w:rFonts w:cs="Arial"/>
        </w:rPr>
        <w:t xml:space="preserve">DSC </w:t>
      </w:r>
      <w:proofErr w:type="gramStart"/>
      <w:r>
        <w:rPr>
          <w:rFonts w:cs="Arial"/>
        </w:rPr>
        <w:t>Server;</w:t>
      </w:r>
      <w:proofErr w:type="gramEnd"/>
    </w:p>
    <w:p w14:paraId="133739F3" w14:textId="4034E39E" w:rsidR="00734AF8" w:rsidRPr="00A81559" w:rsidRDefault="00734AF8" w:rsidP="00F20027">
      <w:pPr>
        <w:pStyle w:val="ListBulletAlternative"/>
        <w:spacing w:after="120" w:line="276" w:lineRule="auto"/>
        <w:rPr>
          <w:rFonts w:cs="Arial"/>
        </w:rPr>
      </w:pPr>
      <w:r>
        <w:rPr>
          <w:rFonts w:cs="Arial"/>
        </w:rPr>
        <w:t>Time Server</w:t>
      </w:r>
    </w:p>
    <w:p w14:paraId="772425ED" w14:textId="77777777" w:rsidR="0020276F" w:rsidRPr="00A81559" w:rsidRDefault="0020276F" w:rsidP="0020276F">
      <w:pPr>
        <w:pStyle w:val="Heading5Unnumbered"/>
        <w:rPr>
          <w:rFonts w:cs="Arial"/>
        </w:rPr>
      </w:pPr>
      <w:r w:rsidRPr="00A81559">
        <w:rPr>
          <w:rFonts w:cs="Arial"/>
        </w:rPr>
        <w:t>Operator Workplace:</w:t>
      </w:r>
    </w:p>
    <w:p w14:paraId="5E978DB4" w14:textId="435DAB16" w:rsidR="0020276F" w:rsidRPr="00A81559" w:rsidRDefault="00CD5895" w:rsidP="00F20027">
      <w:pPr>
        <w:pStyle w:val="ListBulletAlternative"/>
        <w:spacing w:after="120" w:line="276" w:lineRule="auto"/>
        <w:rPr>
          <w:rFonts w:cs="Arial"/>
        </w:rPr>
      </w:pPr>
      <w:r>
        <w:rPr>
          <w:rFonts w:cs="Arial"/>
        </w:rPr>
        <w:t>5</w:t>
      </w:r>
      <w:r w:rsidR="0020276F" w:rsidRPr="00A81559">
        <w:rPr>
          <w:rFonts w:cs="Arial"/>
        </w:rPr>
        <w:t>x Operator Console:</w:t>
      </w:r>
    </w:p>
    <w:p w14:paraId="005621FE" w14:textId="3FB2E6D8" w:rsidR="0020276F" w:rsidRPr="00A81559" w:rsidRDefault="0020276F" w:rsidP="0042383B">
      <w:pPr>
        <w:pStyle w:val="ListBulletAlternative"/>
        <w:numPr>
          <w:ilvl w:val="1"/>
          <w:numId w:val="7"/>
        </w:numPr>
        <w:spacing w:after="120" w:line="276" w:lineRule="auto"/>
        <w:rPr>
          <w:rFonts w:cs="Arial"/>
        </w:rPr>
      </w:pPr>
      <w:r w:rsidRPr="00A81559">
        <w:rPr>
          <w:rFonts w:cs="Arial"/>
        </w:rPr>
        <w:t xml:space="preserve">1 x Operator </w:t>
      </w:r>
      <w:proofErr w:type="gramStart"/>
      <w:r w:rsidRPr="00A81559">
        <w:rPr>
          <w:rFonts w:cs="Arial"/>
        </w:rPr>
        <w:t>PC;</w:t>
      </w:r>
      <w:proofErr w:type="gramEnd"/>
    </w:p>
    <w:p w14:paraId="19166FAF" w14:textId="75DE61DE" w:rsidR="0020276F" w:rsidRPr="00A81559" w:rsidRDefault="006F131E" w:rsidP="0042383B">
      <w:pPr>
        <w:pStyle w:val="ListBulletAlternative"/>
        <w:numPr>
          <w:ilvl w:val="1"/>
          <w:numId w:val="7"/>
        </w:numPr>
        <w:spacing w:after="120" w:line="276" w:lineRule="auto"/>
        <w:rPr>
          <w:rFonts w:cs="Arial"/>
        </w:rPr>
      </w:pPr>
      <w:r>
        <w:rPr>
          <w:rFonts w:cs="Arial"/>
        </w:rPr>
        <w:t>3</w:t>
      </w:r>
      <w:r w:rsidR="0020276F" w:rsidRPr="00A81559">
        <w:rPr>
          <w:rFonts w:cs="Arial"/>
        </w:rPr>
        <w:t xml:space="preserve"> x Traffic </w:t>
      </w:r>
      <w:proofErr w:type="gramStart"/>
      <w:r w:rsidR="0020276F" w:rsidRPr="00A81559">
        <w:rPr>
          <w:rFonts w:cs="Arial"/>
        </w:rPr>
        <w:t>Display;</w:t>
      </w:r>
      <w:proofErr w:type="gramEnd"/>
    </w:p>
    <w:p w14:paraId="603E41FF" w14:textId="4B9B4775" w:rsidR="0020276F" w:rsidRPr="00A81559" w:rsidRDefault="0020276F" w:rsidP="0042383B">
      <w:pPr>
        <w:pStyle w:val="ListBulletAlternative"/>
        <w:numPr>
          <w:ilvl w:val="1"/>
          <w:numId w:val="7"/>
        </w:numPr>
        <w:spacing w:after="120" w:line="276" w:lineRule="auto"/>
        <w:rPr>
          <w:rFonts w:cs="Arial"/>
        </w:rPr>
      </w:pPr>
      <w:r w:rsidRPr="00A81559">
        <w:rPr>
          <w:rFonts w:cs="Arial"/>
        </w:rPr>
        <w:t xml:space="preserve">1 x </w:t>
      </w:r>
      <w:r w:rsidR="00E033BC">
        <w:rPr>
          <w:rFonts w:cs="Arial"/>
        </w:rPr>
        <w:t xml:space="preserve">Admin </w:t>
      </w:r>
      <w:proofErr w:type="gramStart"/>
      <w:r w:rsidR="00E033BC">
        <w:rPr>
          <w:rFonts w:cs="Arial"/>
        </w:rPr>
        <w:t>Display</w:t>
      </w:r>
      <w:r w:rsidRPr="00A81559">
        <w:rPr>
          <w:rFonts w:cs="Arial"/>
        </w:rPr>
        <w:t>;</w:t>
      </w:r>
      <w:proofErr w:type="gramEnd"/>
    </w:p>
    <w:p w14:paraId="642B6CBA" w14:textId="516719B9" w:rsidR="005866AB" w:rsidRPr="00FB2F1E" w:rsidRDefault="00D23F66" w:rsidP="00D23F66">
      <w:pPr>
        <w:pStyle w:val="ListBulletAlternative"/>
        <w:numPr>
          <w:ilvl w:val="0"/>
          <w:numId w:val="0"/>
        </w:numPr>
        <w:ind w:left="720"/>
        <w:rPr>
          <w:rFonts w:cs="Arial"/>
          <w:b/>
          <w:sz w:val="24"/>
        </w:rPr>
      </w:pPr>
      <w:r w:rsidRPr="00FB2F1E">
        <w:rPr>
          <w:rFonts w:cs="Arial"/>
          <w:b/>
          <w:sz w:val="24"/>
        </w:rPr>
        <w:t>Sensors</w:t>
      </w:r>
    </w:p>
    <w:p w14:paraId="4ACE26FC" w14:textId="2EA3711C" w:rsidR="00D23F66" w:rsidRPr="00FB2F1E" w:rsidRDefault="00AD68A1" w:rsidP="00D23F66">
      <w:pPr>
        <w:pStyle w:val="ListBulletAlternative"/>
        <w:spacing w:after="120" w:line="276" w:lineRule="auto"/>
        <w:rPr>
          <w:rFonts w:cs="Arial"/>
        </w:rPr>
      </w:pPr>
      <w:r w:rsidRPr="00FB2F1E">
        <w:rPr>
          <w:rFonts w:cs="Arial"/>
        </w:rPr>
        <w:t>Hydrolo</w:t>
      </w:r>
      <w:r w:rsidR="002F3364" w:rsidRPr="00FB2F1E">
        <w:rPr>
          <w:rFonts w:cs="Arial"/>
        </w:rPr>
        <w:t xml:space="preserve">gic </w:t>
      </w:r>
      <w:proofErr w:type="gramStart"/>
      <w:r w:rsidR="002F3364" w:rsidRPr="00FB2F1E">
        <w:rPr>
          <w:rFonts w:cs="Arial"/>
        </w:rPr>
        <w:t>Sensor</w:t>
      </w:r>
      <w:r w:rsidR="00D23F66" w:rsidRPr="00FB2F1E">
        <w:rPr>
          <w:rFonts w:cs="Arial"/>
        </w:rPr>
        <w:t>;</w:t>
      </w:r>
      <w:proofErr w:type="gramEnd"/>
    </w:p>
    <w:p w14:paraId="77CC4D08" w14:textId="77777777" w:rsidR="00D23F66" w:rsidRPr="00FB2F1E" w:rsidRDefault="00D23F66" w:rsidP="00D23F66">
      <w:pPr>
        <w:pStyle w:val="ListBulletAlternative"/>
        <w:numPr>
          <w:ilvl w:val="0"/>
          <w:numId w:val="0"/>
        </w:numPr>
        <w:ind w:left="720"/>
        <w:rPr>
          <w:rFonts w:cs="Arial"/>
          <w:b/>
          <w:sz w:val="24"/>
        </w:rPr>
      </w:pPr>
      <w:r w:rsidRPr="00FB2F1E">
        <w:rPr>
          <w:rFonts w:cs="Arial"/>
          <w:b/>
          <w:sz w:val="24"/>
        </w:rPr>
        <w:t>Network Equipment</w:t>
      </w:r>
    </w:p>
    <w:p w14:paraId="6D0B63A9" w14:textId="682521E5" w:rsidR="005866AB" w:rsidRPr="00FB2F1E" w:rsidRDefault="005866AB" w:rsidP="005866AB">
      <w:pPr>
        <w:pStyle w:val="ListBulletAlternative"/>
        <w:rPr>
          <w:rFonts w:cs="Arial"/>
        </w:rPr>
      </w:pPr>
      <w:r w:rsidRPr="00FB2F1E">
        <w:rPr>
          <w:rFonts w:cs="Arial"/>
        </w:rPr>
        <w:t xml:space="preserve">LAN </w:t>
      </w:r>
      <w:proofErr w:type="gramStart"/>
      <w:r w:rsidRPr="00FB2F1E">
        <w:rPr>
          <w:rFonts w:cs="Arial"/>
        </w:rPr>
        <w:t>Switch;</w:t>
      </w:r>
      <w:proofErr w:type="gramEnd"/>
    </w:p>
    <w:p w14:paraId="0CE1A470" w14:textId="0004A3F1" w:rsidR="005866AB" w:rsidRPr="00FB2F1E" w:rsidRDefault="005866AB" w:rsidP="00D23F66">
      <w:pPr>
        <w:pStyle w:val="ListBulletAlternative"/>
        <w:numPr>
          <w:ilvl w:val="0"/>
          <w:numId w:val="0"/>
        </w:numPr>
        <w:ind w:left="720"/>
        <w:rPr>
          <w:rFonts w:cs="Arial"/>
          <w:b/>
          <w:sz w:val="24"/>
        </w:rPr>
      </w:pPr>
      <w:r w:rsidRPr="00FB2F1E">
        <w:rPr>
          <w:rFonts w:cs="Arial"/>
          <w:b/>
          <w:sz w:val="24"/>
        </w:rPr>
        <w:t>Auxiliary Equipment</w:t>
      </w:r>
    </w:p>
    <w:p w14:paraId="3E51B890" w14:textId="5AEB41FB" w:rsidR="001C3916" w:rsidRPr="00FB2F1E" w:rsidRDefault="00FB2F1E" w:rsidP="00901575">
      <w:pPr>
        <w:pStyle w:val="ListBulletAlternative"/>
        <w:spacing w:after="120" w:line="276" w:lineRule="auto"/>
        <w:rPr>
          <w:rFonts w:cs="Arial"/>
        </w:rPr>
      </w:pPr>
      <w:r w:rsidRPr="00FB2F1E">
        <w:rPr>
          <w:rFonts w:cs="Arial"/>
        </w:rPr>
        <w:t>Monitoring Unit</w:t>
      </w:r>
      <w:r w:rsidR="00154E43" w:rsidRPr="00FB2F1E">
        <w:rPr>
          <w:rFonts w:cs="Arial"/>
        </w:rPr>
        <w:t>.</w:t>
      </w:r>
    </w:p>
    <w:p w14:paraId="2BBDCF25" w14:textId="0F03CEA0" w:rsidR="00515CA4" w:rsidRPr="00A81559" w:rsidRDefault="00DF0E71" w:rsidP="00515CA4">
      <w:pPr>
        <w:pStyle w:val="ListBulletAlternative"/>
        <w:keepNext/>
        <w:numPr>
          <w:ilvl w:val="0"/>
          <w:numId w:val="0"/>
        </w:numPr>
        <w:spacing w:after="120" w:line="276" w:lineRule="auto"/>
        <w:ind w:left="720" w:hanging="360"/>
        <w:rPr>
          <w:rFonts w:cs="Arial"/>
        </w:rPr>
      </w:pPr>
      <w:r w:rsidRPr="00DF0E71">
        <w:rPr>
          <w:rFonts w:cs="Arial"/>
          <w:noProof/>
        </w:rPr>
        <w:lastRenderedPageBreak/>
        <w:drawing>
          <wp:inline distT="0" distB="0" distL="0" distR="0" wp14:anchorId="201A8F11" wp14:editId="274D6CE2">
            <wp:extent cx="6120130" cy="37960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0130" cy="3796030"/>
                    </a:xfrm>
                    <a:prstGeom prst="rect">
                      <a:avLst/>
                    </a:prstGeom>
                  </pic:spPr>
                </pic:pic>
              </a:graphicData>
            </a:graphic>
          </wp:inline>
        </w:drawing>
      </w:r>
    </w:p>
    <w:p w14:paraId="4F0121C1" w14:textId="4631C6C3" w:rsidR="00527B55" w:rsidRPr="00A81559" w:rsidRDefault="00515CA4" w:rsidP="00515CA4">
      <w:pPr>
        <w:pStyle w:val="Caption"/>
        <w:jc w:val="center"/>
        <w:rPr>
          <w:rFonts w:ascii="Arial" w:hAnsi="Arial" w:cs="Arial"/>
        </w:rPr>
      </w:pPr>
      <w:bookmarkStart w:id="1" w:name="_Toc115452980"/>
      <w:r w:rsidRPr="00554B6C">
        <w:rPr>
          <w:rFonts w:ascii="Arial" w:hAnsi="Arial" w:cs="Arial"/>
        </w:rPr>
        <w:t xml:space="preserve">Figure </w:t>
      </w:r>
      <w:r w:rsidR="00FF7D0D" w:rsidRPr="00554B6C">
        <w:rPr>
          <w:rFonts w:ascii="Arial" w:hAnsi="Arial" w:cs="Arial"/>
        </w:rPr>
        <w:fldChar w:fldCharType="begin"/>
      </w:r>
      <w:r w:rsidR="00FF7D0D" w:rsidRPr="00554B6C">
        <w:rPr>
          <w:rFonts w:ascii="Arial" w:hAnsi="Arial" w:cs="Arial"/>
        </w:rPr>
        <w:instrText xml:space="preserve"> STYLEREF 1 \s </w:instrText>
      </w:r>
      <w:r w:rsidR="00FF7D0D" w:rsidRPr="00554B6C">
        <w:rPr>
          <w:rFonts w:ascii="Arial" w:hAnsi="Arial" w:cs="Arial"/>
        </w:rPr>
        <w:fldChar w:fldCharType="separate"/>
      </w:r>
      <w:r w:rsidR="00E07A36">
        <w:rPr>
          <w:rFonts w:ascii="Arial" w:hAnsi="Arial" w:cs="Arial"/>
          <w:noProof/>
        </w:rPr>
        <w:t>2</w:t>
      </w:r>
      <w:r w:rsidR="00FF7D0D" w:rsidRPr="00554B6C">
        <w:rPr>
          <w:rFonts w:ascii="Arial" w:hAnsi="Arial" w:cs="Arial"/>
        </w:rPr>
        <w:fldChar w:fldCharType="end"/>
      </w:r>
      <w:r w:rsidR="00FF7D0D" w:rsidRPr="00554B6C">
        <w:rPr>
          <w:rFonts w:ascii="Arial" w:hAnsi="Arial" w:cs="Arial"/>
        </w:rPr>
        <w:noBreakHyphen/>
      </w:r>
      <w:r w:rsidR="00FF7D0D" w:rsidRPr="00554B6C">
        <w:rPr>
          <w:rFonts w:ascii="Arial" w:hAnsi="Arial" w:cs="Arial"/>
        </w:rPr>
        <w:fldChar w:fldCharType="begin"/>
      </w:r>
      <w:r w:rsidR="00FF7D0D" w:rsidRPr="00554B6C">
        <w:rPr>
          <w:rFonts w:ascii="Arial" w:hAnsi="Arial" w:cs="Arial"/>
        </w:rPr>
        <w:instrText xml:space="preserve"> SEQ Figure \* ARABIC \s 1 </w:instrText>
      </w:r>
      <w:r w:rsidR="00FF7D0D" w:rsidRPr="00554B6C">
        <w:rPr>
          <w:rFonts w:ascii="Arial" w:hAnsi="Arial" w:cs="Arial"/>
        </w:rPr>
        <w:fldChar w:fldCharType="separate"/>
      </w:r>
      <w:r w:rsidR="00E07A36">
        <w:rPr>
          <w:rFonts w:ascii="Arial" w:hAnsi="Arial" w:cs="Arial"/>
          <w:noProof/>
        </w:rPr>
        <w:t>2</w:t>
      </w:r>
      <w:r w:rsidR="00FF7D0D" w:rsidRPr="00554B6C">
        <w:rPr>
          <w:rFonts w:ascii="Arial" w:hAnsi="Arial" w:cs="Arial"/>
        </w:rPr>
        <w:fldChar w:fldCharType="end"/>
      </w:r>
      <w:r w:rsidR="007640B5" w:rsidRPr="00554B6C">
        <w:rPr>
          <w:rFonts w:ascii="Arial" w:hAnsi="Arial" w:cs="Arial"/>
          <w:lang w:val="en-US"/>
        </w:rPr>
        <w:t xml:space="preserve"> </w:t>
      </w:r>
      <w:r w:rsidRPr="00554B6C">
        <w:rPr>
          <w:rFonts w:ascii="Arial" w:hAnsi="Arial" w:cs="Arial"/>
        </w:rPr>
        <w:t>Block Diagram of Server Room</w:t>
      </w:r>
      <w:bookmarkEnd w:id="1"/>
    </w:p>
    <w:p w14:paraId="0C86E7DE" w14:textId="659C3307" w:rsidR="00742334" w:rsidRPr="00A81559" w:rsidRDefault="00700F4B" w:rsidP="00742334">
      <w:pPr>
        <w:pStyle w:val="ListBulletAlternative"/>
        <w:keepNext/>
        <w:numPr>
          <w:ilvl w:val="0"/>
          <w:numId w:val="0"/>
        </w:numPr>
        <w:spacing w:after="120" w:line="276" w:lineRule="auto"/>
        <w:ind w:left="720" w:hanging="360"/>
        <w:rPr>
          <w:rFonts w:cs="Arial"/>
        </w:rPr>
      </w:pPr>
      <w:r w:rsidRPr="00700F4B">
        <w:rPr>
          <w:rFonts w:cs="Arial"/>
          <w:noProof/>
        </w:rPr>
        <w:drawing>
          <wp:inline distT="0" distB="0" distL="0" distR="0" wp14:anchorId="345E7FAA" wp14:editId="3DFB4FBE">
            <wp:extent cx="6120130" cy="3749040"/>
            <wp:effectExtent l="0" t="0" r="0"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6120130" cy="3749040"/>
                    </a:xfrm>
                    <a:prstGeom prst="rect">
                      <a:avLst/>
                    </a:prstGeom>
                  </pic:spPr>
                </pic:pic>
              </a:graphicData>
            </a:graphic>
          </wp:inline>
        </w:drawing>
      </w:r>
    </w:p>
    <w:p w14:paraId="2473ECA4" w14:textId="0DEAE87C" w:rsidR="00527B55" w:rsidRPr="00A81559" w:rsidRDefault="00742334" w:rsidP="00742334">
      <w:pPr>
        <w:pStyle w:val="Caption"/>
        <w:jc w:val="center"/>
        <w:rPr>
          <w:rFonts w:ascii="Arial" w:hAnsi="Arial" w:cs="Arial"/>
          <w:b/>
          <w:sz w:val="24"/>
        </w:rPr>
      </w:pPr>
      <w:bookmarkStart w:id="2" w:name="_Toc115452981"/>
      <w:r w:rsidRPr="00F22C44">
        <w:rPr>
          <w:rFonts w:ascii="Arial" w:hAnsi="Arial" w:cs="Arial"/>
        </w:rPr>
        <w:t xml:space="preserve">Figure </w:t>
      </w:r>
      <w:r w:rsidR="00FF7D0D" w:rsidRPr="00F22C44">
        <w:rPr>
          <w:rFonts w:ascii="Arial" w:hAnsi="Arial" w:cs="Arial"/>
        </w:rPr>
        <w:fldChar w:fldCharType="begin"/>
      </w:r>
      <w:r w:rsidR="00FF7D0D" w:rsidRPr="00F22C44">
        <w:rPr>
          <w:rFonts w:ascii="Arial" w:hAnsi="Arial" w:cs="Arial"/>
        </w:rPr>
        <w:instrText xml:space="preserve"> STYLEREF 1 \s </w:instrText>
      </w:r>
      <w:r w:rsidR="00FF7D0D" w:rsidRPr="00F22C44">
        <w:rPr>
          <w:rFonts w:ascii="Arial" w:hAnsi="Arial" w:cs="Arial"/>
        </w:rPr>
        <w:fldChar w:fldCharType="separate"/>
      </w:r>
      <w:r w:rsidR="00E07A36">
        <w:rPr>
          <w:rFonts w:ascii="Arial" w:hAnsi="Arial" w:cs="Arial"/>
          <w:noProof/>
        </w:rPr>
        <w:t>2</w:t>
      </w:r>
      <w:r w:rsidR="00FF7D0D" w:rsidRPr="00F22C44">
        <w:rPr>
          <w:rFonts w:ascii="Arial" w:hAnsi="Arial" w:cs="Arial"/>
        </w:rPr>
        <w:fldChar w:fldCharType="end"/>
      </w:r>
      <w:r w:rsidR="00FF7D0D" w:rsidRPr="00F22C44">
        <w:rPr>
          <w:rFonts w:ascii="Arial" w:hAnsi="Arial" w:cs="Arial"/>
        </w:rPr>
        <w:noBreakHyphen/>
      </w:r>
      <w:r w:rsidR="00FF7D0D" w:rsidRPr="00F22C44">
        <w:rPr>
          <w:rFonts w:ascii="Arial" w:hAnsi="Arial" w:cs="Arial"/>
        </w:rPr>
        <w:fldChar w:fldCharType="begin"/>
      </w:r>
      <w:r w:rsidR="00FF7D0D" w:rsidRPr="00F22C44">
        <w:rPr>
          <w:rFonts w:ascii="Arial" w:hAnsi="Arial" w:cs="Arial"/>
        </w:rPr>
        <w:instrText xml:space="preserve"> SEQ Figure \* ARABIC \s 1 </w:instrText>
      </w:r>
      <w:r w:rsidR="00FF7D0D" w:rsidRPr="00F22C44">
        <w:rPr>
          <w:rFonts w:ascii="Arial" w:hAnsi="Arial" w:cs="Arial"/>
        </w:rPr>
        <w:fldChar w:fldCharType="separate"/>
      </w:r>
      <w:r w:rsidR="00E07A36">
        <w:rPr>
          <w:rFonts w:ascii="Arial" w:hAnsi="Arial" w:cs="Arial"/>
          <w:noProof/>
        </w:rPr>
        <w:t>3</w:t>
      </w:r>
      <w:r w:rsidR="00FF7D0D" w:rsidRPr="00F22C44">
        <w:rPr>
          <w:rFonts w:ascii="Arial" w:hAnsi="Arial" w:cs="Arial"/>
        </w:rPr>
        <w:fldChar w:fldCharType="end"/>
      </w:r>
      <w:r w:rsidRPr="00F22C44">
        <w:rPr>
          <w:rFonts w:ascii="Arial" w:hAnsi="Arial" w:cs="Arial"/>
        </w:rPr>
        <w:t xml:space="preserve"> Block Diagram of Operators Room</w:t>
      </w:r>
      <w:bookmarkEnd w:id="2"/>
    </w:p>
    <w:p w14:paraId="596D6AED" w14:textId="6CF8055F" w:rsidR="005C0AE4" w:rsidRPr="00D25F4B" w:rsidRDefault="005C0AE4" w:rsidP="00D25F4B">
      <w:pPr>
        <w:pStyle w:val="ListBulletAlternative"/>
        <w:numPr>
          <w:ilvl w:val="0"/>
          <w:numId w:val="0"/>
        </w:numPr>
        <w:spacing w:after="120" w:line="276" w:lineRule="auto"/>
        <w:rPr>
          <w:rFonts w:cs="Arial"/>
          <w:b/>
          <w:sz w:val="24"/>
        </w:rPr>
      </w:pPr>
    </w:p>
    <w:sectPr w:rsidR="005C0AE4" w:rsidRPr="00D25F4B"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3AFB" w14:textId="77777777" w:rsidR="00C75046" w:rsidRDefault="00C75046">
      <w:pPr>
        <w:spacing w:after="0"/>
      </w:pPr>
      <w:r>
        <w:separator/>
      </w:r>
    </w:p>
  </w:endnote>
  <w:endnote w:type="continuationSeparator" w:id="0">
    <w:p w14:paraId="66C7DF92" w14:textId="77777777" w:rsidR="00C75046" w:rsidRDefault="00C75046">
      <w:pPr>
        <w:spacing w:after="0"/>
      </w:pPr>
      <w:r>
        <w:continuationSeparator/>
      </w:r>
    </w:p>
  </w:endnote>
  <w:endnote w:type="continuationNotice" w:id="1">
    <w:p w14:paraId="43D94847" w14:textId="77777777" w:rsidR="00C75046" w:rsidRDefault="00C750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2993" w14:textId="77777777" w:rsidR="00C75046" w:rsidRDefault="00C75046">
      <w:pPr>
        <w:spacing w:after="0"/>
      </w:pPr>
      <w:r>
        <w:separator/>
      </w:r>
    </w:p>
  </w:footnote>
  <w:footnote w:type="continuationSeparator" w:id="0">
    <w:p w14:paraId="3C274871" w14:textId="77777777" w:rsidR="00C75046" w:rsidRDefault="00C75046">
      <w:pPr>
        <w:spacing w:after="0"/>
      </w:pPr>
      <w:r>
        <w:continuationSeparator/>
      </w:r>
    </w:p>
  </w:footnote>
  <w:footnote w:type="continuationNotice" w:id="1">
    <w:p w14:paraId="53684FBB" w14:textId="77777777" w:rsidR="00C75046" w:rsidRDefault="00C7504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046"/>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5F4B"/>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94</Words>
  <Characters>537</Characters>
  <Application>Microsoft Office Word</Application>
  <DocSecurity>0</DocSecurity>
  <Lines>4</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630</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2022-11-23T09:34:00Z</dcterms:created>
  <dcterms:modified xsi:type="dcterms:W3CDTF">2022-11-23T09:34:00Z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