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5FEE" w14:textId="5829BF0F" w:rsidR="00236794" w:rsidRPr="00CE5A9E" w:rsidRDefault="00236794" w:rsidP="00236794">
      <w:pPr>
        <w:pStyle w:val="Heading3"/>
        <w:keepNext w:val="0"/>
        <w:spacing w:after="140"/>
        <w:jc w:val="left"/>
        <w:rPr>
          <w:rFonts w:cs="Arial"/>
          <w:lang w:val="en-US"/>
        </w:rPr>
      </w:pPr>
      <w:bookmarkStart w:id="0" w:name="_Toc33526655"/>
      <w:bookmarkStart w:id="1" w:name="_Toc118194382"/>
      <w:r w:rsidRPr="00CE5A9E">
        <w:rPr>
          <w:rFonts w:cs="Arial"/>
          <w:lang w:val="en-US"/>
        </w:rPr>
        <w:t xml:space="preserve">Band Pass Filter, </w:t>
      </w:r>
      <w:bookmarkStart w:id="2" w:name="_Hlk3999737"/>
      <w:r w:rsidRPr="00CE5A9E">
        <w:rPr>
          <w:rFonts w:cs="Arial"/>
          <w:lang w:val="en-US"/>
        </w:rPr>
        <w:t>Amphenol Procom</w:t>
      </w:r>
      <w:r w:rsidRPr="00CE5A9E">
        <w:rPr>
          <w:rFonts w:cs="Arial"/>
        </w:rPr>
        <w:t xml:space="preserve"> </w:t>
      </w:r>
      <w:bookmarkEnd w:id="0"/>
      <w:r w:rsidR="0038770D" w:rsidRPr="00CE5A9E">
        <w:rPr>
          <w:rFonts w:cs="Arial"/>
          <w:lang w:val="en-US"/>
        </w:rPr>
        <w:t>DPF2/6H-4/6</w:t>
      </w:r>
      <w:bookmarkEnd w:id="1"/>
    </w:p>
    <w:bookmarkEnd w:id="2"/>
    <w:p w14:paraId="054023BB" w14:textId="77777777" w:rsidR="00236794" w:rsidRPr="00A81559" w:rsidRDefault="00236794" w:rsidP="00236794">
      <w:pPr>
        <w:pStyle w:val="ListBulletAlternative"/>
        <w:spacing w:before="0" w:after="140"/>
        <w:rPr>
          <w:rFonts w:cs="Arial"/>
        </w:rPr>
      </w:pPr>
      <w:r w:rsidRPr="00A81559">
        <w:rPr>
          <w:rFonts w:cs="Arial"/>
        </w:rPr>
        <w:t xml:space="preserve">The housing is made of extruded aluminium, the chassis of steel, and </w:t>
      </w:r>
      <w:proofErr w:type="spellStart"/>
      <w:r w:rsidRPr="00A81559">
        <w:rPr>
          <w:rFonts w:cs="Arial"/>
        </w:rPr>
        <w:t>teflon</w:t>
      </w:r>
      <w:proofErr w:type="spellEnd"/>
      <w:r w:rsidRPr="00A81559">
        <w:rPr>
          <w:rFonts w:cs="Arial"/>
        </w:rPr>
        <w:t xml:space="preserve"> insulation has been used in the coaxial cables and in the connectors. </w:t>
      </w:r>
    </w:p>
    <w:p w14:paraId="08A76FBD" w14:textId="0683A786" w:rsidR="00CA1CA4" w:rsidRPr="00A81559" w:rsidRDefault="00B0243E" w:rsidP="00CA1CA4">
      <w:pPr>
        <w:pStyle w:val="ListBulletAlternative"/>
        <w:spacing w:before="0" w:after="140"/>
        <w:rPr>
          <w:rFonts w:cs="Arial"/>
          <w:lang w:val="en-US"/>
        </w:rPr>
      </w:pPr>
      <w:r w:rsidRPr="00A81559">
        <w:rPr>
          <w:rFonts w:cs="Arial"/>
        </w:rPr>
        <w:t>DPF2/6H-4/6</w:t>
      </w:r>
      <w:r w:rsidR="00236794" w:rsidRPr="00A81559">
        <w:rPr>
          <w:rFonts w:cs="Arial"/>
        </w:rPr>
        <w:t xml:space="preserve"> is coated with black vinyl to prevent corrosion.</w:t>
      </w:r>
    </w:p>
    <w:p w14:paraId="04017F3C" w14:textId="77777777" w:rsidR="00D2261F" w:rsidRPr="00A81559" w:rsidRDefault="00D72971" w:rsidP="00236794">
      <w:pPr>
        <w:pStyle w:val="ListBulletAlternative"/>
        <w:spacing w:before="0" w:after="140"/>
        <w:rPr>
          <w:rFonts w:cs="Arial"/>
          <w:lang w:val="en-US"/>
        </w:rPr>
      </w:pPr>
      <w:r w:rsidRPr="00A81559">
        <w:rPr>
          <w:rFonts w:cs="Arial"/>
          <w:lang w:val="en-US"/>
        </w:rPr>
        <w:t>Selected cavities:</w:t>
      </w:r>
      <w:r w:rsidR="001211E2" w:rsidRPr="00A81559">
        <w:rPr>
          <w:rFonts w:cs="Arial"/>
          <w:lang w:val="en-US"/>
        </w:rPr>
        <w:t xml:space="preserve"> </w:t>
      </w:r>
    </w:p>
    <w:p w14:paraId="05080800" w14:textId="26E4A248" w:rsidR="00D2261F" w:rsidRPr="00A81559" w:rsidRDefault="00350136" w:rsidP="0042383B">
      <w:pPr>
        <w:pStyle w:val="ListBulletAlternative"/>
        <w:numPr>
          <w:ilvl w:val="1"/>
          <w:numId w:val="7"/>
        </w:numPr>
        <w:spacing w:before="0" w:after="140"/>
        <w:rPr>
          <w:rFonts w:cs="Arial"/>
          <w:lang w:val="en-US"/>
        </w:rPr>
      </w:pPr>
      <w:r w:rsidRPr="00A81559">
        <w:rPr>
          <w:rFonts w:cs="Arial"/>
          <w:lang w:val="en-US"/>
        </w:rPr>
        <w:t>Ch1: 162MHz</w:t>
      </w:r>
      <w:r w:rsidR="00D2261F" w:rsidRPr="00A81559">
        <w:rPr>
          <w:rFonts w:cs="Arial"/>
          <w:lang w:val="en-US"/>
        </w:rPr>
        <w:t xml:space="preserve"> for AIS </w:t>
      </w:r>
      <w:proofErr w:type="gramStart"/>
      <w:r w:rsidR="00D2261F" w:rsidRPr="00A81559">
        <w:rPr>
          <w:rFonts w:cs="Arial"/>
          <w:lang w:val="en-US"/>
        </w:rPr>
        <w:t>features;</w:t>
      </w:r>
      <w:proofErr w:type="gramEnd"/>
    </w:p>
    <w:p w14:paraId="09BF27C8" w14:textId="2383D73F" w:rsidR="00350136" w:rsidRPr="00A81559" w:rsidRDefault="00350136" w:rsidP="0042383B">
      <w:pPr>
        <w:pStyle w:val="ListBulletAlternative"/>
        <w:numPr>
          <w:ilvl w:val="1"/>
          <w:numId w:val="7"/>
        </w:numPr>
        <w:spacing w:before="0" w:after="140"/>
        <w:rPr>
          <w:rFonts w:cs="Arial"/>
          <w:lang w:val="en-US"/>
        </w:rPr>
      </w:pPr>
      <w:r w:rsidRPr="00A81559">
        <w:rPr>
          <w:rFonts w:cs="Arial"/>
          <w:lang w:val="en-US"/>
        </w:rPr>
        <w:t>Ch2:156.525MHZ</w:t>
      </w:r>
      <w:r w:rsidR="00D2261F" w:rsidRPr="00A81559">
        <w:rPr>
          <w:rFonts w:cs="Arial"/>
          <w:lang w:val="en-US"/>
        </w:rPr>
        <w:t xml:space="preserve"> for VHF DSC </w:t>
      </w:r>
      <w:proofErr w:type="gramStart"/>
      <w:r w:rsidR="00D2261F" w:rsidRPr="00A81559">
        <w:rPr>
          <w:rFonts w:cs="Arial"/>
          <w:lang w:val="en-US"/>
        </w:rPr>
        <w:t>features;</w:t>
      </w:r>
      <w:proofErr w:type="gramEnd"/>
    </w:p>
    <w:p w14:paraId="65F30CAD" w14:textId="34D025AF" w:rsidR="00236794" w:rsidRPr="00A81559" w:rsidRDefault="005C682B" w:rsidP="00236794">
      <w:pPr>
        <w:pStyle w:val="ListBulletAlternative"/>
        <w:keepNext/>
        <w:numPr>
          <w:ilvl w:val="0"/>
          <w:numId w:val="0"/>
        </w:numPr>
        <w:ind w:left="357" w:hanging="357"/>
        <w:jc w:val="center"/>
        <w:rPr>
          <w:rFonts w:cs="Arial"/>
        </w:rPr>
      </w:pPr>
      <w:r w:rsidRPr="00A81559">
        <w:rPr>
          <w:rFonts w:cs="Arial"/>
          <w:noProof/>
          <w:lang w:val="en-US"/>
        </w:rPr>
        <w:drawing>
          <wp:inline distT="0" distB="0" distL="0" distR="0" wp14:anchorId="1D1E71F8" wp14:editId="6A037294">
            <wp:extent cx="2598936" cy="222068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2803" cy="2241079"/>
                    </a:xfrm>
                    <a:prstGeom prst="rect">
                      <a:avLst/>
                    </a:prstGeom>
                  </pic:spPr>
                </pic:pic>
              </a:graphicData>
            </a:graphic>
          </wp:inline>
        </w:drawing>
      </w:r>
    </w:p>
    <w:p w14:paraId="571E39B7" w14:textId="6D76B57D" w:rsidR="0091191A" w:rsidRPr="00A81559" w:rsidRDefault="00236794" w:rsidP="00B557E1">
      <w:pPr>
        <w:pStyle w:val="Caption"/>
        <w:jc w:val="center"/>
        <w:rPr>
          <w:rFonts w:cs="Arial"/>
          <w:lang w:val="en-US"/>
        </w:rPr>
      </w:pPr>
      <w:bookmarkStart w:id="3" w:name="_Toc115453002"/>
      <w:r w:rsidRPr="00CE5A9E">
        <w:rPr>
          <w:rFonts w:ascii="Arial" w:hAnsi="Arial" w:cs="Arial"/>
        </w:rPr>
        <w:t xml:space="preserve">Figure </w:t>
      </w:r>
      <w:r w:rsidR="00FF7D0D" w:rsidRPr="00CE5A9E">
        <w:rPr>
          <w:rFonts w:ascii="Arial" w:hAnsi="Arial" w:cs="Arial"/>
        </w:rPr>
        <w:fldChar w:fldCharType="begin"/>
      </w:r>
      <w:r w:rsidR="00FF7D0D" w:rsidRPr="00CE5A9E">
        <w:rPr>
          <w:rFonts w:ascii="Arial" w:hAnsi="Arial" w:cs="Arial"/>
        </w:rPr>
        <w:instrText xml:space="preserve"> STYLEREF 1 \s </w:instrText>
      </w:r>
      <w:r w:rsidR="00FF7D0D" w:rsidRPr="00CE5A9E">
        <w:rPr>
          <w:rFonts w:ascii="Arial" w:hAnsi="Arial" w:cs="Arial"/>
        </w:rPr>
        <w:fldChar w:fldCharType="separate"/>
      </w:r>
      <w:r w:rsidR="00E07A36">
        <w:rPr>
          <w:rFonts w:ascii="Arial" w:hAnsi="Arial" w:cs="Arial"/>
          <w:noProof/>
        </w:rPr>
        <w:t>3</w:t>
      </w:r>
      <w:r w:rsidR="00FF7D0D" w:rsidRPr="00CE5A9E">
        <w:rPr>
          <w:rFonts w:ascii="Arial" w:hAnsi="Arial" w:cs="Arial"/>
        </w:rPr>
        <w:fldChar w:fldCharType="end"/>
      </w:r>
      <w:r w:rsidR="00FF7D0D" w:rsidRPr="00CE5A9E">
        <w:rPr>
          <w:rFonts w:ascii="Arial" w:hAnsi="Arial" w:cs="Arial"/>
        </w:rPr>
        <w:noBreakHyphen/>
      </w:r>
      <w:r w:rsidR="00FF7D0D" w:rsidRPr="00CE5A9E">
        <w:rPr>
          <w:rFonts w:ascii="Arial" w:hAnsi="Arial" w:cs="Arial"/>
        </w:rPr>
        <w:fldChar w:fldCharType="begin"/>
      </w:r>
      <w:r w:rsidR="00FF7D0D" w:rsidRPr="00CE5A9E">
        <w:rPr>
          <w:rFonts w:ascii="Arial" w:hAnsi="Arial" w:cs="Arial"/>
        </w:rPr>
        <w:instrText xml:space="preserve"> SEQ Figure \* ARABIC \s 1 </w:instrText>
      </w:r>
      <w:r w:rsidR="00FF7D0D" w:rsidRPr="00CE5A9E">
        <w:rPr>
          <w:rFonts w:ascii="Arial" w:hAnsi="Arial" w:cs="Arial"/>
        </w:rPr>
        <w:fldChar w:fldCharType="separate"/>
      </w:r>
      <w:r w:rsidR="00E07A36">
        <w:rPr>
          <w:rFonts w:ascii="Arial" w:hAnsi="Arial" w:cs="Arial"/>
          <w:noProof/>
        </w:rPr>
        <w:t>2</w:t>
      </w:r>
      <w:r w:rsidR="00FF7D0D" w:rsidRPr="00CE5A9E">
        <w:rPr>
          <w:rFonts w:ascii="Arial" w:hAnsi="Arial" w:cs="Arial"/>
        </w:rPr>
        <w:fldChar w:fldCharType="end"/>
      </w:r>
      <w:r w:rsidRPr="00CE5A9E">
        <w:rPr>
          <w:rFonts w:ascii="Arial" w:hAnsi="Arial" w:cs="Arial"/>
        </w:rPr>
        <w:t xml:space="preserve"> </w:t>
      </w:r>
      <w:r w:rsidR="005C682B" w:rsidRPr="00CE5A9E">
        <w:rPr>
          <w:rFonts w:ascii="Arial" w:hAnsi="Arial" w:cs="Arial"/>
        </w:rPr>
        <w:t>DPF2/6H-4/6</w:t>
      </w:r>
      <w:r w:rsidRPr="00CE5A9E">
        <w:rPr>
          <w:rFonts w:ascii="Arial" w:hAnsi="Arial" w:cs="Arial"/>
        </w:rPr>
        <w:t xml:space="preserve"> Band-Pass Filter</w:t>
      </w:r>
      <w:bookmarkEnd w:id="3"/>
      <w:r w:rsidR="00B557E1" w:rsidRPr="00A81559">
        <w:rPr>
          <w:rFonts w:cs="Arial"/>
          <w:lang w:val="en-US"/>
        </w:rPr>
        <w:t xml:space="preserve"> </w:t>
      </w:r>
    </w:p>
    <w:p w14:paraId="2BCA83DA" w14:textId="77777777" w:rsidR="00BB7F9D" w:rsidRPr="00A81559" w:rsidRDefault="00BB7F9D" w:rsidP="00731551">
      <w:pPr>
        <w:ind w:firstLine="0"/>
        <w:rPr>
          <w:rFonts w:cs="Arial"/>
        </w:rPr>
      </w:pPr>
    </w:p>
    <w:sectPr w:rsidR="00BB7F9D" w:rsidRPr="00A81559" w:rsidSect="0091191A">
      <w:headerReference w:type="first" r:id="rId12"/>
      <w:footerReference w:type="first" r:id="rId13"/>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2A90" w14:textId="77777777" w:rsidR="00555BB2" w:rsidRDefault="00555BB2">
      <w:pPr>
        <w:spacing w:after="0"/>
      </w:pPr>
      <w:r>
        <w:separator/>
      </w:r>
    </w:p>
  </w:endnote>
  <w:endnote w:type="continuationSeparator" w:id="0">
    <w:p w14:paraId="622C5757" w14:textId="77777777" w:rsidR="00555BB2" w:rsidRDefault="00555BB2">
      <w:pPr>
        <w:spacing w:after="0"/>
      </w:pPr>
      <w:r>
        <w:continuationSeparator/>
      </w:r>
    </w:p>
  </w:endnote>
  <w:endnote w:type="continuationNotice" w:id="1">
    <w:p w14:paraId="0905A1C4" w14:textId="77777777" w:rsidR="00555BB2" w:rsidRDefault="00555BB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EEAE" w14:textId="77777777" w:rsidR="00555BB2" w:rsidRDefault="00555BB2">
      <w:pPr>
        <w:spacing w:after="0"/>
      </w:pPr>
      <w:r>
        <w:separator/>
      </w:r>
    </w:p>
  </w:footnote>
  <w:footnote w:type="continuationSeparator" w:id="0">
    <w:p w14:paraId="49146646" w14:textId="77777777" w:rsidR="00555BB2" w:rsidRDefault="00555BB2">
      <w:pPr>
        <w:spacing w:after="0"/>
      </w:pPr>
      <w:r>
        <w:continuationSeparator/>
      </w:r>
    </w:p>
  </w:footnote>
  <w:footnote w:type="continuationNotice" w:id="1">
    <w:p w14:paraId="74DEF8EA" w14:textId="77777777" w:rsidR="00555BB2" w:rsidRDefault="00555BB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29A094D" w:rsidR="002D4446" w:rsidRPr="00343EE7" w:rsidRDefault="002D4446" w:rsidP="00E86BF7">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5BB2"/>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7E1"/>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4.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369</Characters>
  <Application>Microsoft Office Word</Application>
  <DocSecurity>0</DocSecurity>
  <Lines>3</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432</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2022-11-23T09:36:00Z</dcterms:created>
  <dcterms:modified xsi:type="dcterms:W3CDTF">2022-11-23T09:36:00Z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