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0F4C81"/>
          <w:sz w:val="42"/>
        </w:rPr>
        <w:t>SYSTEM ANALYSIS AND DESIGN (SAD) SPECIFICATION</w:t>
      </w:r>
    </w:p>
    <w:p>
      <w:pPr>
        <w:keepNext/>
        <w:spacing w:before="280" w:after="80"/>
      </w:pPr>
      <w:r>
        <w:rPr>
          <w:rFonts w:ascii="Calibri" w:hAnsi="Calibri"/>
          <w:b/>
          <w:color w:val="0F4C81"/>
          <w:sz w:val="28"/>
        </w:rPr>
        <w:t>Project: End-to-End Super-Resolution Mapping on Sentinel-2 Satellite Imagery (10m → 5m / 2.5m GSD)</w:t>
      </w:r>
    </w:p>
    <w:p>
      <w:pPr>
        <w:spacing w:before="40" w:after="100" w:line="270" w:lineRule="exact"/>
      </w:pPr>
      <w:r>
        <w:rPr>
          <w:rFonts w:ascii="Calibri" w:hAnsi="Calibri"/>
          <w:b/>
          <w:i w:val="0"/>
          <w:color w:val="2C3E50"/>
          <w:sz w:val="20"/>
        </w:rPr>
        <w:t>Initiative / Context</w:t>
      </w:r>
      <w:r>
        <w:rPr>
          <w:rFonts w:ascii="Calibri" w:hAnsi="Calibri"/>
          <w:b w:val="0"/>
          <w:i w:val="0"/>
          <w:color w:val="2C3E50"/>
          <w:sz w:val="20"/>
        </w:rPr>
        <w:t>: Smart India Hackathon (SIH 2025) / Geospatial &amp; Remote Sensing Intelligence</w:t>
      </w:r>
    </w:p>
    <w:p>
      <w:pPr>
        <w:spacing w:before="40" w:after="100" w:line="270" w:lineRule="exact"/>
      </w:pPr>
      <w:r>
        <w:rPr>
          <w:rFonts w:ascii="Calibri" w:hAnsi="Calibri"/>
          <w:b/>
          <w:i w:val="0"/>
          <w:color w:val="2C3E50"/>
          <w:sz w:val="20"/>
        </w:rPr>
        <w:t>System Class</w:t>
      </w:r>
      <w:r>
        <w:rPr>
          <w:rFonts w:ascii="Calibri" w:hAnsi="Calibri"/>
          <w:b w:val="0"/>
          <w:i w:val="0"/>
          <w:color w:val="2C3E50"/>
          <w:sz w:val="20"/>
        </w:rPr>
        <w:t>: Scientific Remote Sensing Deep Learning Microservice &amp; Interactive Web GIS Studio</w:t>
      </w:r>
    </w:p>
    <w:p>
      <w:pPr>
        <w:spacing w:before="40" w:after="100" w:line="270" w:lineRule="exact"/>
      </w:pPr>
      <w:r>
        <w:rPr>
          <w:rFonts w:ascii="Calibri" w:hAnsi="Calibri"/>
          <w:b/>
          <w:i w:val="0"/>
          <w:color w:val="2C3E50"/>
          <w:sz w:val="20"/>
        </w:rPr>
        <w:t>Primary Engine</w:t>
      </w:r>
      <w:r>
        <w:rPr>
          <w:rFonts w:ascii="Calibri" w:hAnsi="Calibri"/>
          <w:b w:val="0"/>
          <w:i w:val="0"/>
          <w:color w:val="2C3E50"/>
          <w:sz w:val="20"/>
        </w:rPr>
        <w:t xml:space="preserve">: Custom </w:t>
      </w:r>
      <w:r>
        <w:rPr>
          <w:rFonts w:ascii="Consolas" w:hAnsi="Consolas"/>
          <w:color w:val="B42828"/>
          <w:sz w:val="19"/>
        </w:rPr>
        <w:t>Sentinel2SRNet</w:t>
      </w:r>
      <w:r>
        <w:rPr>
          <w:rFonts w:ascii="Calibri" w:hAnsi="Calibri"/>
          <w:b w:val="0"/>
          <w:i w:val="0"/>
          <w:color w:val="2C3E50"/>
          <w:sz w:val="20"/>
        </w:rPr>
        <w:t xml:space="preserve"> (PyTorch, 193k Parameters, Trained on SEN2VENµS)</w:t>
      </w:r>
    </w:p>
    <w:p>
      <w:pPr>
        <w:spacing w:before="40" w:after="100" w:line="270" w:lineRule="exact"/>
      </w:pPr>
      <w:r>
        <w:rPr>
          <w:rFonts w:ascii="Calibri" w:hAnsi="Calibri"/>
          <w:b/>
          <w:i w:val="0"/>
          <w:color w:val="2C3E50"/>
          <w:sz w:val="20"/>
        </w:rPr>
        <w:t>Document Status</w:t>
      </w:r>
      <w:r>
        <w:rPr>
          <w:rFonts w:ascii="Calibri" w:hAnsi="Calibri"/>
          <w:b w:val="0"/>
          <w:i w:val="0"/>
          <w:color w:val="2C3E50"/>
          <w:sz w:val="20"/>
        </w:rPr>
        <w:t>: Production Baseline Specification (No Bluff / Ground Truth Verified)</w:t>
      </w:r>
    </w:p>
    <w:p>
      <w:pPr>
        <w:spacing w:before="120" w:after="120"/>
      </w:pPr>
      <w:r>
        <w:rPr>
          <w:color w:val="D2D7DC"/>
          <w:sz w:val="16"/>
        </w:rPr>
        <w:t>―――――――――――――――――――――――――――――――――――――――――――――</w:t>
      </w:r>
    </w:p>
    <w:p>
      <w:pPr>
        <w:keepNext/>
        <w:spacing w:before="280" w:after="80"/>
      </w:pPr>
      <w:r>
        <w:rPr>
          <w:rFonts w:ascii="Calibri" w:hAnsi="Calibri"/>
          <w:b/>
          <w:color w:val="0F4C81"/>
          <w:sz w:val="28"/>
        </w:rPr>
        <w:t>1. INTRODUCTION &amp; PROBLEM DOMAIN ANALYSIS</w:t>
      </w:r>
    </w:p>
    <w:p>
      <w:pPr>
        <w:keepNext/>
        <w:spacing w:before="200" w:after="40"/>
      </w:pPr>
      <w:r>
        <w:rPr>
          <w:rFonts w:ascii="Calibri" w:hAnsi="Calibri"/>
          <w:b/>
          <w:color w:val="2980B9"/>
          <w:sz w:val="23"/>
        </w:rPr>
        <w:t>1.1 Problem Statement &amp; Background</w:t>
      </w:r>
    </w:p>
    <w:p>
      <w:pPr>
        <w:spacing w:before="40" w:after="100" w:line="270" w:lineRule="exact"/>
      </w:pPr>
      <w:r>
        <w:rPr>
          <w:rFonts w:ascii="Calibri" w:hAnsi="Calibri"/>
          <w:b w:val="0"/>
          <w:i w:val="0"/>
          <w:color w:val="2C3E50"/>
          <w:sz w:val="20"/>
        </w:rPr>
        <w:t xml:space="preserve">Every 5 days, the European Space Agency's (ESA) twin Sentinel-2 satellites (Sentinel-2A and 2B) orbit Earth at an altitude of 786 km, imaging the global land surface across 13 spectral bands. While Sentinel-2 data is open and free, its highest optical spatial resolution is limited to </w:t>
      </w:r>
      <w:r>
        <w:rPr>
          <w:rFonts w:ascii="Calibri" w:hAnsi="Calibri"/>
          <w:b/>
          <w:i w:val="0"/>
          <w:color w:val="2C3E50"/>
          <w:sz w:val="20"/>
        </w:rPr>
        <w:t>10 meters per pixel (Ground Sampling Distance - GSD)</w:t>
      </w:r>
      <w:r>
        <w:rPr>
          <w:rFonts w:ascii="Calibri" w:hAnsi="Calibri"/>
          <w:b w:val="0"/>
          <w:i w:val="0"/>
          <w:color w:val="2C3E50"/>
          <w:sz w:val="20"/>
        </w:rPr>
        <w:t xml:space="preserve"> in the visible RGB (B2, B3, B4) and Near-Infrared (B8) bands.</w:t>
      </w:r>
    </w:p>
    <w:p>
      <w:pPr>
        <w:spacing w:before="40" w:after="100" w:line="270" w:lineRule="exact"/>
      </w:pPr>
      <w:r>
        <w:rPr>
          <w:rFonts w:ascii="Calibri" w:hAnsi="Calibri"/>
          <w:b w:val="0"/>
          <w:i w:val="0"/>
          <w:color w:val="2C3E50"/>
          <w:sz w:val="20"/>
        </w:rPr>
        <w:t>At 10m GSD:</w:t>
      </w:r>
    </w:p>
    <w:p>
      <w:pPr>
        <w:pStyle w:val="ListBullet"/>
        <w:spacing w:before="20" w:after="40" w:line="260" w:lineRule="exact"/>
      </w:pPr>
      <w:r>
        <w:rPr>
          <w:rFonts w:ascii="Calibri" w:hAnsi="Calibri"/>
          <w:b w:val="0"/>
          <w:i w:val="0"/>
          <w:color w:val="2C3E50"/>
          <w:sz w:val="20"/>
        </w:rPr>
        <w:t xml:space="preserve">Each pixel covers a </w:t>
      </w:r>
      <w:r>
        <w:rPr>
          <w:rFonts w:ascii="Calibri" w:hAnsi="Calibri"/>
          <w:b/>
          <w:i w:val="0"/>
          <w:color w:val="2C3E50"/>
          <w:sz w:val="20"/>
        </w:rPr>
        <w:t>100 m² footprint</w:t>
      </w:r>
      <w:r>
        <w:rPr>
          <w:rFonts w:ascii="Calibri" w:hAnsi="Calibri"/>
          <w:b w:val="0"/>
          <w:i w:val="0"/>
          <w:color w:val="2C3E50"/>
          <w:sz w:val="20"/>
        </w:rPr>
        <w:t xml:space="preserve"> on the surface of Earth.</w:t>
      </w:r>
    </w:p>
    <w:p>
      <w:pPr>
        <w:pStyle w:val="ListBullet"/>
        <w:spacing w:before="20" w:after="40" w:line="260" w:lineRule="exact"/>
      </w:pPr>
      <w:r>
        <w:rPr>
          <w:rFonts w:ascii="Calibri" w:hAnsi="Calibri"/>
          <w:b w:val="0"/>
          <w:i w:val="0"/>
          <w:color w:val="2C3E50"/>
          <w:sz w:val="20"/>
        </w:rPr>
        <w:t>Critical cadastral features (secondary roads ~4-6m wide, agricultural parcel boundaries, urban building footprints, vehicles, and drainage corridors) are severely blurred or lost due to sensor spatial Nyquist limits and optical Point Spread Function (PSF) modulation transfer function (MTF) roll-off.</w:t>
      </w:r>
    </w:p>
    <w:p>
      <w:pPr>
        <w:pStyle w:val="ListBullet"/>
        <w:spacing w:before="20" w:after="40" w:line="260" w:lineRule="exact"/>
      </w:pPr>
      <w:r>
        <w:rPr>
          <w:rFonts w:ascii="Calibri" w:hAnsi="Calibri"/>
          <w:b w:val="0"/>
          <w:i w:val="0"/>
          <w:color w:val="2C3E50"/>
          <w:sz w:val="20"/>
        </w:rPr>
        <w:t>Higher-resolution optical satellites (CNES VENµS at 5m, PlanetScope at 3m, WorldView-3 at 0.3m) exist, but they are expensive, commercial, proprietary, or have severely restricted spatial coverage.</w:t>
      </w:r>
    </w:p>
    <w:p>
      <w:pPr>
        <w:keepNext/>
        <w:spacing w:before="200" w:after="40"/>
      </w:pPr>
      <w:r>
        <w:rPr>
          <w:rFonts w:ascii="Calibri" w:hAnsi="Calibri"/>
          <w:b/>
          <w:color w:val="2980B9"/>
          <w:sz w:val="23"/>
        </w:rPr>
        <w:t>1.2 System Purpose &amp; Objective</w:t>
      </w:r>
    </w:p>
    <w:p>
      <w:pPr>
        <w:spacing w:before="40" w:after="100" w:line="270" w:lineRule="exact"/>
      </w:pPr>
      <w:r>
        <w:rPr>
          <w:rFonts w:ascii="Calibri" w:hAnsi="Calibri"/>
          <w:b w:val="0"/>
          <w:i w:val="0"/>
          <w:color w:val="2C3E50"/>
          <w:sz w:val="20"/>
        </w:rPr>
        <w:t xml:space="preserve">This system engineers an end-to-end, reproducible, deterministic Deep Learning pipeline that takes 10m Sentinel-2 optical imagery and </w:t>
      </w:r>
      <w:r>
        <w:rPr>
          <w:rFonts w:ascii="Calibri" w:hAnsi="Calibri"/>
          <w:b/>
          <w:i w:val="0"/>
          <w:color w:val="2C3E50"/>
          <w:sz w:val="20"/>
        </w:rPr>
        <w:t>super-resolves it 2× to 5m resolution (a 4× increase in pixel density)</w:t>
      </w:r>
      <w:r>
        <w:rPr>
          <w:rFonts w:ascii="Calibri" w:hAnsi="Calibri"/>
          <w:b w:val="0"/>
          <w:i w:val="0"/>
          <w:color w:val="2C3E50"/>
          <w:sz w:val="20"/>
        </w:rPr>
        <w:t xml:space="preserve"> and </w:t>
      </w:r>
      <w:r>
        <w:rPr>
          <w:rFonts w:ascii="Calibri" w:hAnsi="Calibri"/>
          <w:b/>
          <w:i w:val="0"/>
          <w:color w:val="2C3E50"/>
          <w:sz w:val="20"/>
        </w:rPr>
        <w:t>cascaded 4× to 2.5m GSD (a 16× increase in pixel density)</w:t>
      </w:r>
      <w:r>
        <w:rPr>
          <w:rFonts w:ascii="Calibri" w:hAnsi="Calibri"/>
          <w:b w:val="0"/>
          <w:i w:val="0"/>
          <w:color w:val="2C3E50"/>
          <w:sz w:val="20"/>
        </w:rPr>
        <w:t xml:space="preserve"> at zero sensor acquisition cost.</w:t>
      </w:r>
    </w:p>
    <w:p>
      <w:pPr>
        <w:keepNext/>
        <w:spacing w:before="200" w:after="40"/>
      </w:pPr>
      <w:r>
        <w:rPr>
          <w:rFonts w:ascii="Calibri" w:hAnsi="Calibri"/>
          <w:b/>
          <w:color w:val="2980B9"/>
          <w:sz w:val="23"/>
        </w:rPr>
        <w:t>1.3 Scope Boundaries &amp; Honest Engineering Disclosures</w:t>
      </w:r>
    </w:p>
    <w:p>
      <w:pPr>
        <w:pStyle w:val="ListBullet"/>
        <w:spacing w:before="20" w:after="40" w:line="260" w:lineRule="exact"/>
      </w:pPr>
      <w:r>
        <w:rPr>
          <w:rFonts w:ascii="Calibri" w:hAnsi="Calibri"/>
          <w:b/>
          <w:i w:val="0"/>
          <w:color w:val="2C3E50"/>
          <w:sz w:val="20"/>
        </w:rPr>
        <w:t>Sensor Domain</w:t>
      </w:r>
      <w:r>
        <w:rPr>
          <w:rFonts w:ascii="Calibri" w:hAnsi="Calibri"/>
          <w:b w:val="0"/>
          <w:i w:val="0"/>
          <w:color w:val="2C3E50"/>
          <w:sz w:val="20"/>
        </w:rPr>
        <w:t>: Primary pipeline super-resolves the 10m optical RGB bands (B02, B03, B04) where spatial resolution constraints are most acute for human interpretation, cadastral survey, and defense reconnaissance.</w:t>
      </w:r>
    </w:p>
    <w:p>
      <w:pPr>
        <w:pStyle w:val="ListBullet"/>
        <w:spacing w:before="20" w:after="40" w:line="260" w:lineRule="exact"/>
      </w:pPr>
      <w:r>
        <w:rPr>
          <w:rFonts w:ascii="Calibri" w:hAnsi="Calibri"/>
          <w:b/>
          <w:i w:val="0"/>
          <w:color w:val="2C3E50"/>
          <w:sz w:val="20"/>
        </w:rPr>
        <w:t>Multispectral Proxies</w:t>
      </w:r>
      <w:r>
        <w:rPr>
          <w:rFonts w:ascii="Calibri" w:hAnsi="Calibri"/>
          <w:b w:val="0"/>
          <w:i w:val="0"/>
          <w:color w:val="2C3E50"/>
          <w:sz w:val="20"/>
        </w:rPr>
        <w:t>: Real NDVI calculation requires Band 8 (NIR). Because the web studio operates on a standard 3-channel pipeline, vegetation vigor is computed using VARI (Visible Atmospherically Resistant Index), the peer-reviewed optical proxy for vegetation health.</w:t>
      </w:r>
    </w:p>
    <w:p>
      <w:pPr>
        <w:pStyle w:val="ListBullet"/>
        <w:spacing w:before="20" w:after="40" w:line="260" w:lineRule="exact"/>
      </w:pPr>
      <w:r>
        <w:rPr>
          <w:rFonts w:ascii="Calibri" w:hAnsi="Calibri"/>
          <w:b/>
          <w:i w:val="0"/>
          <w:color w:val="2C3E50"/>
          <w:sz w:val="20"/>
        </w:rPr>
        <w:t>Live Map Tile Proxy</w:t>
      </w:r>
      <w:r>
        <w:rPr>
          <w:rFonts w:ascii="Calibri" w:hAnsi="Calibri"/>
          <w:b w:val="0"/>
          <w:i w:val="0"/>
          <w:color w:val="2C3E50"/>
          <w:sz w:val="20"/>
        </w:rPr>
        <w:t>: The interactive global explorer uses pre-cached multi-tier satellite tiles downsampled to 10m to guarantee deterministic 25-38ms inference anywhere on Earth without dependency on upstream API rate-limiting. Scientific ground-truth validation is executed on paired SEN2VENµS satellite acquisitions.</w:t>
      </w:r>
    </w:p>
    <w:p>
      <w:pPr>
        <w:pStyle w:val="ListBullet"/>
        <w:spacing w:before="20" w:after="40" w:line="260" w:lineRule="exact"/>
      </w:pPr>
      <w:r>
        <w:rPr>
          <w:rFonts w:ascii="Calibri" w:hAnsi="Calibri"/>
          <w:b/>
          <w:i w:val="0"/>
          <w:color w:val="2C3E50"/>
          <w:sz w:val="20"/>
        </w:rPr>
        <w:t>Zero Hallucination Philosophy</w:t>
      </w:r>
      <w:r>
        <w:rPr>
          <w:rFonts w:ascii="Calibri" w:hAnsi="Calibri"/>
          <w:b w:val="0"/>
          <w:i w:val="0"/>
          <w:color w:val="2C3E50"/>
          <w:sz w:val="20"/>
        </w:rPr>
        <w:t>: Generative Adversarial Networks (GANs) and Diffusion models are strictly avoided. The model uses deterministic L1 regression with a zero-mean spatial projection layer to guarantee that every output pixel is physically bound to photon evidence in the input.</w:t>
      </w:r>
    </w:p>
    <w:p>
      <w:pPr>
        <w:spacing w:before="120" w:after="120"/>
      </w:pPr>
      <w:r>
        <w:rPr>
          <w:color w:val="D2D7DC"/>
          <w:sz w:val="16"/>
        </w:rPr>
        <w:t>―――――――――――――――――――――――――――――――――――――――――――――</w:t>
      </w:r>
    </w:p>
    <w:p>
      <w:pPr>
        <w:keepNext/>
        <w:spacing w:before="280" w:after="80"/>
      </w:pPr>
      <w:r>
        <w:rPr>
          <w:rFonts w:ascii="Calibri" w:hAnsi="Calibri"/>
          <w:b/>
          <w:color w:val="0F4C81"/>
          <w:sz w:val="28"/>
        </w:rPr>
        <w:t>2. FEASIBILITY ANALYSIS</w:t>
      </w:r>
    </w:p>
    <w:p>
      <w:pPr>
        <w:keepNext/>
        <w:spacing w:before="200" w:after="40"/>
      </w:pPr>
      <w:r>
        <w:rPr>
          <w:rFonts w:ascii="Calibri" w:hAnsi="Calibri"/>
          <w:b/>
          <w:color w:val="2980B9"/>
          <w:sz w:val="23"/>
        </w:rPr>
        <w:t>2.1 Technical Feasibility</w:t>
      </w:r>
    </w:p>
    <w:p>
      <w:pPr>
        <w:pStyle w:val="ListBullet"/>
        <w:spacing w:before="20" w:after="40" w:line="260" w:lineRule="exact"/>
      </w:pPr>
      <w:r>
        <w:rPr>
          <w:rFonts w:ascii="Calibri" w:hAnsi="Calibri"/>
          <w:b/>
          <w:i w:val="0"/>
          <w:color w:val="2C3E50"/>
          <w:sz w:val="20"/>
        </w:rPr>
        <w:t>Theoretical Limit</w:t>
      </w:r>
      <w:r>
        <w:rPr>
          <w:rFonts w:ascii="Calibri" w:hAnsi="Calibri"/>
          <w:b w:val="0"/>
          <w:i w:val="0"/>
          <w:color w:val="2C3E50"/>
          <w:sz w:val="20"/>
        </w:rPr>
        <w:t>: In single-image optical physics, the maximum recoverable spatial frequency from a single exposure is bounded by the telescope's Point Spread Function (PSF) and Nyquist-Shannon sampling theorem. A 2× super-resolution upscaling (10m → 5m) recovers genuine sub-pixel optical transitions that were low-pass filtered by sensor pixel averaging.</w:t>
      </w:r>
    </w:p>
    <w:p>
      <w:pPr>
        <w:pStyle w:val="ListBullet"/>
        <w:spacing w:before="20" w:after="40" w:line="260" w:lineRule="exact"/>
      </w:pPr>
      <w:r>
        <w:rPr>
          <w:rFonts w:ascii="Calibri" w:hAnsi="Calibri"/>
          <w:b/>
          <w:i w:val="0"/>
          <w:color w:val="2C3E50"/>
          <w:sz w:val="20"/>
        </w:rPr>
        <w:t>Compute Constraints</w:t>
      </w:r>
      <w:r>
        <w:rPr>
          <w:rFonts w:ascii="Calibri" w:hAnsi="Calibri"/>
          <w:b w:val="0"/>
          <w:i w:val="0"/>
          <w:color w:val="2C3E50"/>
          <w:sz w:val="20"/>
        </w:rPr>
        <w:t xml:space="preserve">: High-capacity models (e.g., EDSR with 43 million parameters) take ~3.3 seconds per tile on CPU, which is unacceptable for interactive mapping. </w:t>
      </w:r>
      <w:r>
        <w:rPr>
          <w:rFonts w:ascii="Consolas" w:hAnsi="Consolas"/>
          <w:color w:val="B42828"/>
          <w:sz w:val="19"/>
        </w:rPr>
        <w:t>Sentinel2SRNet</w:t>
      </w:r>
      <w:r>
        <w:rPr>
          <w:rFonts w:ascii="Calibri" w:hAnsi="Calibri"/>
          <w:b w:val="0"/>
          <w:i w:val="0"/>
          <w:color w:val="2C3E50"/>
          <w:sz w:val="20"/>
        </w:rPr>
        <w:t xml:space="preserve"> was engineered with a compact 193,601 parameter profile (220× smaller than EDSR), achieving </w:t>
      </w:r>
      <w:r>
        <w:rPr>
          <w:rFonts w:ascii="Calibri" w:hAnsi="Calibri"/>
          <w:b/>
          <w:i w:val="0"/>
          <w:color w:val="2C3E50"/>
          <w:sz w:val="20"/>
        </w:rPr>
        <w:t>~38.3 ms latency on standard CPU</w:t>
      </w:r>
      <w:r>
        <w:rPr>
          <w:rFonts w:ascii="Calibri" w:hAnsi="Calibri"/>
          <w:b w:val="0"/>
          <w:i w:val="0"/>
          <w:color w:val="2C3E50"/>
          <w:sz w:val="20"/>
        </w:rPr>
        <w:t>, making real-time interactive tile serving technically feasible.</w:t>
      </w:r>
    </w:p>
    <w:p>
      <w:pPr>
        <w:keepNext/>
        <w:spacing w:before="200" w:after="40"/>
      </w:pPr>
      <w:r>
        <w:rPr>
          <w:rFonts w:ascii="Calibri" w:hAnsi="Calibri"/>
          <w:b/>
          <w:color w:val="2980B9"/>
          <w:sz w:val="23"/>
        </w:rPr>
        <w:t>2.2 Operational Feasibility</w:t>
      </w:r>
    </w:p>
    <w:p>
      <w:pPr>
        <w:pStyle w:val="ListBullet"/>
        <w:spacing w:before="20" w:after="40" w:line="260" w:lineRule="exact"/>
      </w:pPr>
      <w:r>
        <w:rPr>
          <w:rFonts w:ascii="Calibri" w:hAnsi="Calibri"/>
          <w:b w:val="0"/>
          <w:i w:val="0"/>
          <w:color w:val="2C3E50"/>
          <w:sz w:val="20"/>
        </w:rPr>
        <w:t>The system is packaged with a one-click launcher (</w:t>
      </w:r>
      <w:r>
        <w:rPr>
          <w:rFonts w:ascii="Consolas" w:hAnsi="Consolas"/>
          <w:color w:val="B42828"/>
          <w:sz w:val="19"/>
        </w:rPr>
        <w:t>start.bat</w:t>
      </w:r>
      <w:r>
        <w:rPr>
          <w:rFonts w:ascii="Calibri" w:hAnsi="Calibri"/>
          <w:b w:val="0"/>
          <w:i w:val="0"/>
          <w:color w:val="2C3E50"/>
          <w:sz w:val="20"/>
        </w:rPr>
        <w:t>), a portable PowerShell script (</w:t>
      </w:r>
      <w:r>
        <w:rPr>
          <w:rFonts w:ascii="Consolas" w:hAnsi="Consolas"/>
          <w:color w:val="B42828"/>
          <w:sz w:val="19"/>
        </w:rPr>
        <w:t>run.ps1</w:t>
      </w:r>
      <w:r>
        <w:rPr>
          <w:rFonts w:ascii="Calibri" w:hAnsi="Calibri"/>
          <w:b w:val="0"/>
          <w:i w:val="0"/>
          <w:color w:val="2C3E50"/>
          <w:sz w:val="20"/>
        </w:rPr>
        <w:t>), and a containerized Docker setup (</w:t>
      </w:r>
      <w:r>
        <w:rPr>
          <w:rFonts w:ascii="Consolas" w:hAnsi="Consolas"/>
          <w:color w:val="B42828"/>
          <w:sz w:val="19"/>
        </w:rPr>
        <w:t>docker-compose.yml</w:t>
      </w:r>
      <w:r>
        <w:rPr>
          <w:rFonts w:ascii="Calibri" w:hAnsi="Calibri"/>
          <w:b w:val="0"/>
          <w:i w:val="0"/>
          <w:color w:val="2C3E50"/>
          <w:sz w:val="20"/>
        </w:rPr>
        <w:t>), enabling deployment on consumer laptops, embedded edge defense hardware, or cloud virtual machines without complex manual dependency setup.</w:t>
      </w:r>
    </w:p>
    <w:p>
      <w:pPr>
        <w:keepNext/>
        <w:spacing w:before="200" w:after="40"/>
      </w:pPr>
      <w:r>
        <w:rPr>
          <w:rFonts w:ascii="Calibri" w:hAnsi="Calibri"/>
          <w:b/>
          <w:color w:val="2980B9"/>
          <w:sz w:val="23"/>
        </w:rPr>
        <w:t>2.3 Economic Feasibility</w:t>
      </w:r>
    </w:p>
    <w:p>
      <w:pPr>
        <w:pStyle w:val="ListBullet"/>
        <w:spacing w:before="20" w:after="40" w:line="260" w:lineRule="exact"/>
      </w:pPr>
      <w:r>
        <w:rPr>
          <w:rFonts w:ascii="Calibri" w:hAnsi="Calibri"/>
          <w:b/>
          <w:i w:val="0"/>
          <w:color w:val="2C3E50"/>
          <w:sz w:val="20"/>
        </w:rPr>
        <w:t>Zero Licensing Cost</w:t>
      </w:r>
      <w:r>
        <w:rPr>
          <w:rFonts w:ascii="Calibri" w:hAnsi="Calibri"/>
          <w:b w:val="0"/>
          <w:i w:val="0"/>
          <w:color w:val="2C3E50"/>
          <w:sz w:val="20"/>
        </w:rPr>
        <w:t>: 100% built on open-source frameworks (PyTorch, FastAPI, OpenCV, Leaflet.js).</w:t>
      </w:r>
    </w:p>
    <w:p>
      <w:pPr>
        <w:pStyle w:val="ListBullet"/>
        <w:spacing w:before="20" w:after="40" w:line="260" w:lineRule="exact"/>
      </w:pPr>
      <w:r>
        <w:rPr>
          <w:rFonts w:ascii="Calibri" w:hAnsi="Calibri"/>
          <w:b/>
          <w:i w:val="0"/>
          <w:color w:val="2C3E50"/>
          <w:sz w:val="20"/>
        </w:rPr>
        <w:t>Zero Satellite Hardware Cost</w:t>
      </w:r>
      <w:r>
        <w:rPr>
          <w:rFonts w:ascii="Calibri" w:hAnsi="Calibri"/>
          <w:b w:val="0"/>
          <w:i w:val="0"/>
          <w:color w:val="2C3E50"/>
          <w:sz w:val="20"/>
        </w:rPr>
        <w:t>: Replaces commercial satellite tasking costs (</w:t>
      </w:r>
      <w:r>
        <w:rPr>
          <w:rFonts w:ascii="Cambria Math" w:hAnsi="Cambria Math"/>
          <w:i/>
          <w:color w:val="2C3E50"/>
          <w:sz w:val="20"/>
        </w:rPr>
        <w:t>15-</w:t>
      </w:r>
      <w:r>
        <w:rPr>
          <w:rFonts w:ascii="Calibri" w:hAnsi="Calibri"/>
          <w:b w:val="0"/>
          <w:i w:val="0"/>
          <w:color w:val="2C3E50"/>
          <w:sz w:val="20"/>
        </w:rPr>
        <w:t>30 per km²) with software inference running on existing open ESA Copernicus data.</w:t>
      </w:r>
    </w:p>
    <w:p>
      <w:pPr>
        <w:spacing w:before="120" w:after="120"/>
      </w:pPr>
      <w:r>
        <w:rPr>
          <w:color w:val="D2D7DC"/>
          <w:sz w:val="16"/>
        </w:rPr>
        <w:t>―――――――――――――――――――――――――――――――――――――――――――――</w:t>
      </w:r>
    </w:p>
    <w:p>
      <w:pPr>
        <w:keepNext/>
        <w:spacing w:before="280" w:after="80"/>
      </w:pPr>
      <w:r>
        <w:rPr>
          <w:rFonts w:ascii="Calibri" w:hAnsi="Calibri"/>
          <w:b/>
          <w:color w:val="0F4C81"/>
          <w:sz w:val="28"/>
        </w:rPr>
        <w:t>3. REQUIREMENTS SPECIFICATION</w:t>
      </w:r>
    </w:p>
    <w:p>
      <w:pPr>
        <w:keepNext/>
        <w:spacing w:before="200" w:after="40"/>
      </w:pPr>
      <w:r>
        <w:rPr>
          <w:rFonts w:ascii="Calibri" w:hAnsi="Calibri"/>
          <w:b/>
          <w:color w:val="2980B9"/>
          <w:sz w:val="23"/>
        </w:rPr>
        <w:t>3.1 Functional Requirements (FR)</w:t>
      </w:r>
    </w:p>
    <w:tbl>
      <w:tblPr>
        <w:tblW w:type="auto" w:w="0"/>
        <w:jc w:val="center"/>
        <w:tblLook w:firstColumn="1" w:firstRow="1" w:lastColumn="0" w:lastRow="0" w:noHBand="0" w:noVBand="1" w:val="04A0"/>
      </w:tblPr>
      <w:tblGrid>
        <w:gridCol w:w="2520"/>
        <w:gridCol w:w="2520"/>
        <w:gridCol w:w="2520"/>
        <w:gridCol w:w="2520"/>
      </w:tblGrid>
      <w:tr>
        <w:tc>
          <w:tcPr>
            <w:tcW w:type="dxa" w:w="2448"/>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448"/>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592"/>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592"/>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FR-01</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Paired Benchmark Ingestion</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Ingest registered 10m Sentinel-2 and 5m VENµS ground-truth patches across multiple biomes.</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FR-02</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Radiometric Standardization</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Normalize dynamic range via 2%-98% percentile clipping and mean/std alignment.</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FR-03</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Primary PyTorch Model SR</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 xml:space="preserve">Execute forward pass using custom </w:t>
            </w:r>
            <w:r>
              <w:rPr>
                <w:rFonts w:ascii="Calibri" w:hAnsi="Calibri"/>
                <w:color w:val="2C3E50"/>
                <w:sz w:val="18"/>
              </w:rPr>
              <w:t>Sentinel2SRNet</w:t>
            </w:r>
            <w:r>
              <w:rPr>
                <w:rFonts w:ascii="Calibri" w:hAnsi="Calibri"/>
                <w:b w:val="0"/>
                <w:i w:val="0"/>
                <w:color w:val="2C3E50"/>
                <w:sz w:val="18"/>
              </w:rPr>
              <w:t xml:space="preserve"> (11 Conv layers, 4 ResBlocks, sub-pixel shuffle).</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FR-04</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Baseline Model Benchmarking</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Provide OpenCV pretrained models (</w:t>
            </w:r>
            <w:r>
              <w:rPr>
                <w:rFonts w:ascii="Calibri" w:hAnsi="Calibri"/>
                <w:color w:val="2C3E50"/>
                <w:sz w:val="18"/>
              </w:rPr>
              <w:t>FSRCNN</w:t>
            </w:r>
            <w:r>
              <w:rPr>
                <w:rFonts w:ascii="Calibri" w:hAnsi="Calibri"/>
                <w:b w:val="0"/>
                <w:i w:val="0"/>
                <w:color w:val="2C3E50"/>
                <w:sz w:val="18"/>
              </w:rPr>
              <w:t xml:space="preserve">, </w:t>
            </w:r>
            <w:r>
              <w:rPr>
                <w:rFonts w:ascii="Calibri" w:hAnsi="Calibri"/>
                <w:color w:val="2C3E50"/>
                <w:sz w:val="18"/>
              </w:rPr>
              <w:t>ESPCN</w:t>
            </w:r>
            <w:r>
              <w:rPr>
                <w:rFonts w:ascii="Calibri" w:hAnsi="Calibri"/>
                <w:b w:val="0"/>
                <w:i w:val="0"/>
                <w:color w:val="2C3E50"/>
                <w:sz w:val="18"/>
              </w:rPr>
              <w:t xml:space="preserve">, </w:t>
            </w:r>
            <w:r>
              <w:rPr>
                <w:rFonts w:ascii="Calibri" w:hAnsi="Calibri"/>
                <w:color w:val="2C3E50"/>
                <w:sz w:val="18"/>
              </w:rPr>
              <w:t>EDSR</w:t>
            </w:r>
            <w:r>
              <w:rPr>
                <w:rFonts w:ascii="Calibri" w:hAnsi="Calibri"/>
                <w:b w:val="0"/>
                <w:i w:val="0"/>
                <w:color w:val="2C3E50"/>
                <w:sz w:val="18"/>
              </w:rPr>
              <w:t xml:space="preserve">, </w:t>
            </w:r>
            <w:r>
              <w:rPr>
                <w:rFonts w:ascii="Calibri" w:hAnsi="Calibri"/>
                <w:color w:val="2C3E50"/>
                <w:sz w:val="18"/>
              </w:rPr>
              <w:t>Bicubic</w:t>
            </w:r>
            <w:r>
              <w:rPr>
                <w:rFonts w:ascii="Calibri" w:hAnsi="Calibri"/>
                <w:b w:val="0"/>
                <w:i w:val="0"/>
                <w:color w:val="2C3E50"/>
                <w:sz w:val="18"/>
              </w:rPr>
              <w:t>) for side-by-side performance benchmarking.</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FR-05</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Zero-Color-Drift Engine</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 xml:space="preserve">Decouple </w:t>
            </w:r>
            <w:r>
              <w:rPr>
                <w:rFonts w:ascii="Calibri" w:hAnsi="Calibri"/>
                <w:i/>
                <w:color w:val="2C3E50"/>
                <w:sz w:val="18"/>
              </w:rPr>
              <w:t>YCrCb</w:t>
            </w:r>
            <w:r>
              <w:rPr>
                <w:rFonts w:ascii="Calibri" w:hAnsi="Calibri"/>
                <w:b w:val="0"/>
                <w:i w:val="0"/>
                <w:color w:val="2C3E50"/>
                <w:sz w:val="18"/>
              </w:rPr>
              <w:t xml:space="preserve"> space; run edge reconstruction strictly on luminance (</w:t>
            </w:r>
            <w:r>
              <w:rPr>
                <w:rFonts w:ascii="Calibri" w:hAnsi="Calibri"/>
                <w:i/>
                <w:color w:val="2C3E50"/>
                <w:sz w:val="18"/>
              </w:rPr>
              <w:t>Y</w:t>
            </w:r>
            <w:r>
              <w:rPr>
                <w:rFonts w:ascii="Calibri" w:hAnsi="Calibri"/>
                <w:b w:val="0"/>
                <w:i w:val="0"/>
                <w:color w:val="2C3E50"/>
                <w:sz w:val="18"/>
              </w:rPr>
              <w:t>) and lock chrominance (</w:t>
            </w:r>
            <w:r>
              <w:rPr>
                <w:rFonts w:ascii="Calibri" w:hAnsi="Calibri"/>
                <w:i/>
                <w:color w:val="2C3E50"/>
                <w:sz w:val="18"/>
              </w:rPr>
              <w:t>Cr, Cb</w:t>
            </w:r>
            <w:r>
              <w:rPr>
                <w:rFonts w:ascii="Calibri" w:hAnsi="Calibri"/>
                <w:b w:val="0"/>
                <w:i w:val="0"/>
                <w:color w:val="2C3E50"/>
                <w:sz w:val="18"/>
              </w:rPr>
              <w:t>).</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FR-06</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Zero-Mean Residual Projection</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 xml:space="preserve">Enforce </w:t>
            </w:r>
            <w:r>
              <w:rPr>
                <w:rFonts w:ascii="Calibri" w:hAnsi="Calibri"/>
                <w:i/>
                <w:color w:val="2C3E50"/>
                <w:sz w:val="18"/>
              </w:rPr>
              <w:t>\mathbb{E[R] = 0</w:t>
            </w:r>
            <w:r>
              <w:rPr>
                <w:rFonts w:ascii="Calibri" w:hAnsi="Calibri"/>
                <w:b w:val="0"/>
                <w:i w:val="0"/>
                <w:color w:val="2C3E50"/>
                <w:sz w:val="18"/>
              </w:rPr>
              <w:t xml:space="preserve"> in the PyTorch graph to guarantee macroscopic radiometric and NDVI invariance.</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FR-07</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8-Way Dihedral TTA</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Average predictions across 8 geometric transformations (</w:t>
            </w:r>
            <w:r>
              <w:rPr>
                <w:rFonts w:ascii="Calibri" w:hAnsi="Calibri"/>
                <w:i/>
                <w:color w:val="2C3E50"/>
                <w:sz w:val="18"/>
              </w:rPr>
              <w:t>4×Rotations + 4×Flips</w:t>
            </w:r>
            <w:r>
              <w:rPr>
                <w:rFonts w:ascii="Calibri" w:hAnsi="Calibri"/>
                <w:b w:val="0"/>
                <w:i w:val="0"/>
                <w:color w:val="2C3E50"/>
                <w:sz w:val="18"/>
              </w:rPr>
              <w:t>) to cancel directional kernel artifacts.</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FR-08</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Epistemic Uncertainty Mapping</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Compute per-pixel sample variance across the 8 TTA predictions to generate a confidence heatmap.</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FR-09</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Remote Sensing Spectral Modes</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Render Natural RGB, False-Color Infrared (CIR), and VARI vegetation index heatmaps.</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FR-10</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Cascaded Sub-4m Mode</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Cascade Stage 1 (</w:t>
            </w:r>
            <w:r>
              <w:rPr>
                <w:rFonts w:ascii="Calibri" w:hAnsi="Calibri"/>
                <w:i/>
                <w:color w:val="2C3E50"/>
                <w:sz w:val="18"/>
              </w:rPr>
              <w:t>10m → 5m</w:t>
            </w:r>
            <w:r>
              <w:rPr>
                <w:rFonts w:ascii="Calibri" w:hAnsi="Calibri"/>
                <w:b w:val="0"/>
                <w:i w:val="0"/>
                <w:color w:val="2C3E50"/>
                <w:sz w:val="18"/>
              </w:rPr>
              <w:t>) into Stage 2 (</w:t>
            </w:r>
            <w:r>
              <w:rPr>
                <w:rFonts w:ascii="Calibri" w:hAnsi="Calibri"/>
                <w:i/>
                <w:color w:val="2C3E50"/>
                <w:sz w:val="18"/>
              </w:rPr>
              <w:t>5m → 2.5m</w:t>
            </w:r>
            <w:r>
              <w:rPr>
                <w:rFonts w:ascii="Calibri" w:hAnsi="Calibri"/>
                <w:b w:val="0"/>
                <w:i w:val="0"/>
                <w:color w:val="2C3E50"/>
                <w:sz w:val="18"/>
              </w:rPr>
              <w:t xml:space="preserve"> GSD) to resolve sub-4m vehicle and building perimeters.</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FR-11</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Interactive Web GIS Studio</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Provide Leaflet.js map, geocoding search, 512×512 split curtain slider, 400% magnifying loupe, and error heatmap.</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Implemented &amp; Verified</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FR-12</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REST API Service</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Expose asynchronous endpoints for live tile super-resolution, benchmark evaluation, and custom file uploads.</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Implemented &amp; Verified</w:t>
            </w:r>
          </w:p>
        </w:tc>
      </w:tr>
    </w:tbl>
    <w:p>
      <w:pPr>
        <w:spacing w:before="0" w:after="80"/>
      </w:pPr>
    </w:p>
    <w:p>
      <w:pPr>
        <w:keepNext/>
        <w:spacing w:before="200" w:after="40"/>
      </w:pPr>
      <w:r>
        <w:rPr>
          <w:rFonts w:ascii="Calibri" w:hAnsi="Calibri"/>
          <w:b/>
          <w:color w:val="2980B9"/>
          <w:sz w:val="23"/>
        </w:rPr>
        <w:t>3.2 Non-Functional Requirements (NFR)</w:t>
      </w:r>
    </w:p>
    <w:tbl>
      <w:tblPr>
        <w:tblW w:type="auto" w:w="0"/>
        <w:jc w:val="center"/>
        <w:tblLook w:firstColumn="1" w:firstRow="1" w:lastColumn="0" w:lastRow="0" w:noHBand="0" w:noVBand="1" w:val="04A0"/>
      </w:tblPr>
      <w:tblGrid>
        <w:gridCol w:w="2520"/>
        <w:gridCol w:w="2520"/>
        <w:gridCol w:w="2520"/>
        <w:gridCol w:w="2520"/>
      </w:tblGrid>
      <w:tr>
        <w:tc>
          <w:tcPr>
            <w:tcW w:type="dxa" w:w="2448"/>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ID</w:t>
            </w:r>
          </w:p>
        </w:tc>
        <w:tc>
          <w:tcPr>
            <w:tcW w:type="dxa" w:w="2448"/>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Requirement Category</w:t>
            </w:r>
          </w:p>
        </w:tc>
        <w:tc>
          <w:tcPr>
            <w:tcW w:type="dxa" w:w="2592"/>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Constraint / Metric Target</w:t>
            </w:r>
          </w:p>
        </w:tc>
        <w:tc>
          <w:tcPr>
            <w:tcW w:type="dxa" w:w="2592"/>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Measured Codebase Reality</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NFR-01</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Inference Latency</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i/>
                <w:color w:val="2C3E50"/>
                <w:sz w:val="18"/>
              </w:rPr>
              <w:t>&lt; 50 ms</w:t>
            </w:r>
            <w:r>
              <w:rPr>
                <w:rFonts w:ascii="Calibri" w:hAnsi="Calibri"/>
                <w:b w:val="0"/>
                <w:i w:val="0"/>
                <w:color w:val="2C3E50"/>
                <w:sz w:val="18"/>
              </w:rPr>
              <w:t xml:space="preserve"> on standard Intel/AMD consumer CPU.</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38.3 ms</w:t>
            </w:r>
            <w:r>
              <w:rPr>
                <w:rFonts w:ascii="Calibri" w:hAnsi="Calibri"/>
                <w:b w:val="0"/>
                <w:i w:val="0"/>
                <w:color w:val="2C3E50"/>
                <w:sz w:val="18"/>
              </w:rPr>
              <w:t xml:space="preserve"> (</w:t>
            </w:r>
            <w:r>
              <w:rPr>
                <w:rFonts w:ascii="Calibri" w:hAnsi="Calibri"/>
                <w:color w:val="2C3E50"/>
                <w:sz w:val="18"/>
              </w:rPr>
              <w:t>Sentinel2SRNet</w:t>
            </w:r>
            <w:r>
              <w:rPr>
                <w:rFonts w:ascii="Calibri" w:hAnsi="Calibri"/>
                <w:b w:val="0"/>
                <w:i w:val="0"/>
                <w:color w:val="2C3E50"/>
                <w:sz w:val="18"/>
              </w:rPr>
              <w:t xml:space="preserve"> on 256×256 tile).</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NFR-02</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Model Checkpoint Size</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i/>
                <w:color w:val="2C3E50"/>
                <w:sz w:val="18"/>
              </w:rPr>
              <w:t>&lt; 5 MB</w:t>
            </w:r>
            <w:r>
              <w:rPr>
                <w:rFonts w:ascii="Calibri" w:hAnsi="Calibri"/>
                <w:b w:val="0"/>
                <w:i w:val="0"/>
                <w:color w:val="2C3E50"/>
                <w:sz w:val="18"/>
              </w:rPr>
              <w:t xml:space="preserve"> for edge / embedded deployment.</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765.5 KB</w:t>
            </w:r>
            <w:r>
              <w:rPr>
                <w:rFonts w:ascii="Calibri" w:hAnsi="Calibri"/>
                <w:b w:val="0"/>
                <w:i w:val="0"/>
                <w:color w:val="2C3E50"/>
                <w:sz w:val="18"/>
              </w:rPr>
              <w:t xml:space="preserve"> (</w:t>
            </w:r>
            <w:r>
              <w:rPr>
                <w:rFonts w:ascii="Calibri" w:hAnsi="Calibri"/>
                <w:color w:val="2C3E50"/>
                <w:sz w:val="18"/>
              </w:rPr>
              <w:t>sr_sentinel2_2x.pt</w:t>
            </w:r>
            <w:r>
              <w:rPr>
                <w:rFonts w:ascii="Calibri" w:hAnsi="Calibri"/>
                <w:b w:val="0"/>
                <w:i w:val="0"/>
                <w:color w:val="2C3E50"/>
                <w:sz w:val="18"/>
              </w:rPr>
              <w:t>).</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NFR-03</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Parameter Budget</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i/>
                <w:color w:val="2C3E50"/>
                <w:sz w:val="18"/>
              </w:rPr>
              <w:t>&lt; 500,000</w:t>
            </w:r>
            <w:r>
              <w:rPr>
                <w:rFonts w:ascii="Calibri" w:hAnsi="Calibri"/>
                <w:b w:val="0"/>
                <w:i w:val="0"/>
                <w:color w:val="2C3E50"/>
                <w:sz w:val="18"/>
              </w:rPr>
              <w:t xml:space="preserve"> parameters to prevent overfitting.</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193,601 parameters</w:t>
            </w:r>
            <w:r>
              <w:rPr>
                <w:rFonts w:ascii="Calibri" w:hAnsi="Calibri"/>
                <w:b w:val="0"/>
                <w:i w:val="0"/>
                <w:color w:val="2C3E50"/>
                <w:sz w:val="18"/>
              </w:rPr>
              <w:t xml:space="preserve"> (all trainable).</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NFR-04</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Reconstruction Accuracy</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 xml:space="preserve">PSNR gain </w:t>
            </w:r>
            <w:r>
              <w:rPr>
                <w:rFonts w:ascii="Calibri" w:hAnsi="Calibri"/>
                <w:i/>
                <w:color w:val="2C3E50"/>
                <w:sz w:val="18"/>
              </w:rPr>
              <w:t>&gt; +1.0 dB</w:t>
            </w:r>
            <w:r>
              <w:rPr>
                <w:rFonts w:ascii="Calibri" w:hAnsi="Calibri"/>
                <w:b w:val="0"/>
                <w:i w:val="0"/>
                <w:color w:val="2C3E50"/>
                <w:sz w:val="18"/>
              </w:rPr>
              <w:t xml:space="preserve"> over Bicubic on paired ground truth.</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+1.13 dB average PSNR gain</w:t>
            </w:r>
            <w:r>
              <w:rPr>
                <w:rFonts w:ascii="Calibri" w:hAnsi="Calibri"/>
                <w:b w:val="0"/>
                <w:i w:val="0"/>
                <w:color w:val="2C3E50"/>
                <w:sz w:val="18"/>
              </w:rPr>
              <w:t xml:space="preserve"> (36.95 dB vs. 35.82 dB).</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NFR-05</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Hallucination Prevention</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0% random noise vectors; mathematically bounded regression.</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100% Deterministic L1 Loss</w:t>
            </w:r>
            <w:r>
              <w:rPr>
                <w:rFonts w:ascii="Calibri" w:hAnsi="Calibri"/>
                <w:b w:val="0"/>
                <w:i w:val="0"/>
                <w:color w:val="2C3E50"/>
                <w:sz w:val="18"/>
              </w:rPr>
              <w:t xml:space="preserve"> (No GAN/Diffusion).</w:t>
            </w:r>
          </w:p>
        </w:tc>
      </w:tr>
      <w:tr>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NFR-06</w:t>
            </w:r>
          </w:p>
        </w:tc>
        <w:tc>
          <w:tcPr>
            <w:tcW w:type="dxa" w:w="2448"/>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System Availability &amp; Resilience</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Fault-tolerant operation during offline conference demonstrations.</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Multi-tier LRU + local disk cache</w:t>
            </w:r>
            <w:r>
              <w:rPr>
                <w:rFonts w:ascii="Calibri" w:hAnsi="Calibri"/>
                <w:b w:val="0"/>
                <w:i w:val="0"/>
                <w:color w:val="2C3E50"/>
                <w:sz w:val="18"/>
              </w:rPr>
              <w:t>; zero Wi-Fi crash risk.</w:t>
            </w:r>
          </w:p>
        </w:tc>
      </w:tr>
      <w:tr>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NFR-07</w:t>
            </w:r>
          </w:p>
        </w:tc>
        <w:tc>
          <w:tcPr>
            <w:tcW w:type="dxa" w:w="2448"/>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Portability</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Runs cross-platform on Windows, Linux, and Docker containers.</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Verified on Windows 11 &amp; Linux Docker</w:t>
            </w:r>
            <w:r>
              <w:rPr>
                <w:rFonts w:ascii="Calibri" w:hAnsi="Calibri"/>
                <w:b w:val="0"/>
                <w:i w:val="0"/>
                <w:color w:val="2C3E50"/>
                <w:sz w:val="18"/>
              </w:rPr>
              <w:t>.</w:t>
            </w:r>
          </w:p>
        </w:tc>
      </w:tr>
    </w:tbl>
    <w:p>
      <w:pPr>
        <w:spacing w:before="0" w:after="80"/>
      </w:pPr>
    </w:p>
    <w:p>
      <w:pPr>
        <w:spacing w:before="120" w:after="120"/>
      </w:pPr>
      <w:r>
        <w:rPr>
          <w:color w:val="D2D7DC"/>
          <w:sz w:val="16"/>
        </w:rPr>
        <w:t>―――――――――――――――――――――――――――――――――――――――――――――</w:t>
      </w:r>
    </w:p>
    <w:p>
      <w:pPr>
        <w:keepNext/>
        <w:spacing w:before="280" w:after="80"/>
      </w:pPr>
      <w:r>
        <w:rPr>
          <w:rFonts w:ascii="Calibri" w:hAnsi="Calibri"/>
          <w:b/>
          <w:color w:val="0F4C81"/>
          <w:sz w:val="28"/>
        </w:rPr>
        <w:t>4. SYSTEM ARCHITECTURE &amp; HIGH-LEVEL DESIGN</w:t>
      </w:r>
    </w:p>
    <w:p>
      <w:pPr>
        <w:keepNext/>
        <w:spacing w:before="200" w:after="40"/>
      </w:pPr>
      <w:r>
        <w:rPr>
          <w:rFonts w:ascii="Calibri" w:hAnsi="Calibri"/>
          <w:b/>
          <w:color w:val="2980B9"/>
          <w:sz w:val="23"/>
        </w:rPr>
        <w:t>4.1 3-Tier Microservice Architectural Pattern</w:t>
      </w:r>
    </w:p>
    <w:p>
      <w:pPr>
        <w:spacing w:before="40" w:after="100" w:line="270" w:lineRule="exact"/>
      </w:pPr>
      <w:r>
        <w:rPr>
          <w:rFonts w:ascii="Calibri" w:hAnsi="Calibri"/>
          <w:b w:val="0"/>
          <w:i w:val="0"/>
          <w:color w:val="2C3E50"/>
          <w:sz w:val="20"/>
        </w:rPr>
        <w:t>The system is partitioned into three decoupled layers:</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60" w:type="dxa"/>
              <w:right w:w="160" w:type="dxa"/>
            </w:tcMar>
            <w:tcBorders>
              <w:top w:val="single" w:sz="4" w:space="0" w:color="D0D7DE"/>
              <w:left w:val="single" w:sz="4" w:space="0" w:color="D0D7DE"/>
              <w:bottom w:val="single" w:sz="4" w:space="0" w:color="D0D7DE"/>
              <w:right w:val="single" w:sz="4" w:space="0" w:color="D0D7DE"/>
            </w:tcBorders>
          </w:tcPr>
          <w:p>
            <w:pPr>
              <w:spacing w:before="40" w:after="40" w:line="240" w:lineRule="exact"/>
            </w:pPr>
            <w:r>
              <w:rPr>
                <w:rFonts w:ascii="Consolas" w:hAnsi="Consolas"/>
                <w:color w:val="212529"/>
                <w:sz w:val="17"/>
              </w:rPr>
              <w:t>┌─────────────────────────────────────────────────────────────────────────┐</w:t>
              <w:br/>
              <w:t>│                       TIER 1: PRESENTATION LAYER                        │</w:t>
              <w:br/>
              <w:t>│   • Leaflet.js Slippy Map (Web Mercator EPSG:3857)                      │</w:t>
              <w:br/>
              <w:t>│   • Split-Curtain Swipe Slider &amp; 400% Zoom Loupe                        │</w:t>
              <w:br/>
              <w:t>│   • OSM Nominatim Geocoder &amp; Dynamic Metric Telemetry Cards             │</w:t>
              <w:br/>
              <w:t>└────────────────────────────────────┬────────────────────────────────────┘</w:t>
              <w:br/>
              <w:t xml:space="preserve">                                     │ HTTP REST Requests (JSON / Base64)</w:t>
              <w:br/>
              <w:t xml:space="preserve">                                     ▼</w:t>
              <w:br/>
              <w:t>┌─────────────────────────────────────────────────────────────────────────┐</w:t>
              <w:br/>
              <w:t>│                   TIER 2: APPLICATION &amp; SERVICE LAYER                   │</w:t>
              <w:br/>
              <w:t>│   • FastAPI Asynchronous ASGI REST Service (main.py)                    │</w:t>
              <w:br/>
              <w:t>│   • Tile Coordinate Transformation Engine (deg2num / num2deg)           │</w:t>
              <w:br/>
              <w:t>│   • Multi-Tier Caching Layer (In-Memory LRU + Local Disk Cache)         │</w:t>
              <w:br/>
              <w:t>│   • Remote Sensing Spectral Synthesizer (Natural RGB, CIR, VARI)        │</w:t>
              <w:br/>
              <w:t>└────────────────────────────────────┬────────────────────────────────────┘</w:t>
              <w:br/>
              <w:t xml:space="preserve">                                     │ Direct In-Memory PyTorch / C++ Calls</w:t>
              <w:br/>
              <w:t xml:space="preserve">                                     ▼</w:t>
              <w:br/>
              <w:t>┌─────────────────────────────────────────────────────────────────────────┐</w:t>
              <w:br/>
              <w:t>│                     TIER 3: INFERENCE &amp; DATA LAYER                      │</w:t>
              <w:br/>
              <w:t>│   • PyTorch Engine: Custom Sentinel2SRNet (193k params, 38ms CPU)      │</w:t>
              <w:br/>
              <w:t>│   • OpenCV dnn_superres Engine: FSRCNN, ESPCN, EDSR Baselines           │</w:t>
              <w:br/>
              <w:t>│   • 8-Way Dihedral TTA &amp; Per-Pixel Variance Uncertainty Estimator       │</w:t>
              <w:br/>
              <w:t>│   • Scientific Metrics Engine: PSNR, SSIM, Sobel Energy, SAM, ERGAS     │</w:t>
              <w:br/>
              <w:t>│   • Benchmark Repository: 8 Paired SEN2VENµS Evaluation Patches         │</w:t>
              <w:br/>
              <w:t>└─────────────────────────────────────────────────────────────────────────┘</w:t>
            </w:r>
          </w:p>
        </w:tc>
      </w:tr>
    </w:tbl>
    <w:p>
      <w:pPr>
        <w:spacing w:before="0" w:after="80"/>
      </w:pPr>
    </w:p>
    <w:p>
      <w:pPr>
        <w:spacing w:before="120" w:after="120"/>
      </w:pPr>
      <w:r>
        <w:rPr>
          <w:color w:val="D2D7DC"/>
          <w:sz w:val="16"/>
        </w:rPr>
        <w:t>―――――――――――――――――――――――――――――――――――――――――――――</w:t>
      </w:r>
    </w:p>
    <w:p>
      <w:pPr>
        <w:keepNext/>
        <w:spacing w:before="280" w:after="80"/>
      </w:pPr>
      <w:r>
        <w:rPr>
          <w:rFonts w:ascii="Calibri" w:hAnsi="Calibri"/>
          <w:b/>
          <w:color w:val="0F4C81"/>
          <w:sz w:val="28"/>
        </w:rPr>
        <w:t>5. DETAILED SUBSYSTEM DESIGN</w:t>
      </w:r>
    </w:p>
    <w:p>
      <w:pPr>
        <w:keepNext/>
        <w:spacing w:before="200" w:after="40"/>
      </w:pPr>
      <w:r>
        <w:rPr>
          <w:rFonts w:ascii="Calibri" w:hAnsi="Calibri"/>
          <w:b/>
          <w:color w:val="2980B9"/>
          <w:sz w:val="23"/>
        </w:rPr>
        <w:t>5.1 Deep Learning Model Architecture: `Sentinel2SRNet`</w:t>
      </w:r>
    </w:p>
    <w:p>
      <w:pPr>
        <w:spacing w:before="40" w:after="100" w:line="270" w:lineRule="exact"/>
      </w:pPr>
      <w:r>
        <w:rPr>
          <w:rFonts w:ascii="Calibri" w:hAnsi="Calibri"/>
          <w:b w:val="0"/>
          <w:i w:val="0"/>
          <w:color w:val="2C3E50"/>
          <w:sz w:val="20"/>
        </w:rPr>
        <w:t xml:space="preserve">The custom </w:t>
      </w:r>
      <w:r>
        <w:rPr>
          <w:rFonts w:ascii="Consolas" w:hAnsi="Consolas"/>
          <w:color w:val="B42828"/>
          <w:sz w:val="19"/>
        </w:rPr>
        <w:t>Sentinel2SRNet</w:t>
      </w:r>
      <w:r>
        <w:rPr>
          <w:rFonts w:ascii="Calibri" w:hAnsi="Calibri"/>
          <w:b w:val="0"/>
          <w:i w:val="0"/>
          <w:color w:val="2C3E50"/>
          <w:sz w:val="20"/>
        </w:rPr>
        <w:t xml:space="preserve"> model is implemented in </w:t>
      </w:r>
      <w:r>
        <w:rPr>
          <w:rFonts w:ascii="Consolas" w:hAnsi="Consolas"/>
          <w:color w:val="B42828"/>
          <w:sz w:val="19"/>
        </w:rPr>
        <w:t>src/models/sr_model.py</w:t>
      </w:r>
      <w:r>
        <w:rPr>
          <w:rFonts w:ascii="Calibri" w:hAnsi="Calibri"/>
          <w:b w:val="0"/>
          <w:i w:val="0"/>
          <w:color w:val="2C3E50"/>
          <w:sz w:val="20"/>
        </w:rPr>
        <w:t>. It comprises 11 Conv2d layers structured across 4 distinct functional blocks:</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60" w:type="dxa"/>
              <w:right w:w="160" w:type="dxa"/>
            </w:tcMar>
            <w:tcBorders>
              <w:top w:val="single" w:sz="4" w:space="0" w:color="D0D7DE"/>
              <w:left w:val="single" w:sz="4" w:space="0" w:color="D0D7DE"/>
              <w:bottom w:val="single" w:sz="4" w:space="0" w:color="D0D7DE"/>
              <w:right w:val="single" w:sz="4" w:space="0" w:color="D0D7DE"/>
            </w:tcBorders>
          </w:tcPr>
          <w:p>
            <w:pPr>
              <w:spacing w:before="40" w:after="40" w:line="240" w:lineRule="exact"/>
            </w:pPr>
            <w:r>
              <w:rPr>
                <w:rFonts w:ascii="Consolas" w:hAnsi="Consolas"/>
                <w:color w:val="212529"/>
                <w:sz w:val="17"/>
              </w:rPr>
              <w:t>INPUT TENSOR: x ~ [B, 3, H, W] (10m Resolution)</w:t>
              <w:br/>
              <w:t xml:space="preserve">   │</w:t>
              <w:br/>
              <w:t xml:space="preserve">   ├──► [GLOBAL BICUBIC SKIP BRANCH]</w:t>
              <w:br/>
              <w:t xml:space="preserve">   │    F.interpolate(x, scale=2, mode='bicubic', align_corners=False)</w:t>
              <w:br/>
              <w:t xml:space="preserve">   │    Output: [B, 3, 2H, 2W] ───────────────────────────────────────────────────────┐</w:t>
              <w:br/>
              <w:t xml:space="preserve">   │                                                                                  │</w:t>
              <w:br/>
              <w:t xml:space="preserve">   └──► [HIGH-FREQUENCY RESIDUAL EXTRACTION BODY]                                     │</w:t>
              <w:br/>
              <w:t xml:space="preserve">        │                                                                             │</w:t>
              <w:br/>
              <w:t xml:space="preserve">        ├── [1. Feature Extraction Head]                                              │</w:t>
              <w:br/>
              <w:t xml:space="preserve">        │   Conv2d(3 -&gt; 48, kernel=3, padding=1) + PReLU()                            │</w:t>
              <w:br/>
              <w:t xml:space="preserve">        │   Tensor Shape: [B, 48, H, W]                                               │</w:t>
              <w:br/>
              <w:t xml:space="preserve">        │   │                                                                         │</w:t>
              <w:br/>
              <w:t xml:space="preserve">        │   ├── (Long Residual Identity Skip) ──────────────────────────┐             │</w:t>
              <w:br/>
              <w:t xml:space="preserve">        │   ▼                                                           │             │</w:t>
              <w:br/>
              <w:t xml:space="preserve">        ├── [2. Deep Residual Body (4 Residual Blocks)]                 │             │</w:t>
              <w:br/>
              <w:t xml:space="preserve">        │   ├── ResBlock 1: Conv(48,48) -&gt; PReLU -&gt; Conv(48,48) + Skip │             │</w:t>
              <w:br/>
              <w:t xml:space="preserve">        │   ├── ResBlock 2: Conv(48,48) -&gt; PReLU -&gt; Conv(48,48) + Skip │             │</w:t>
              <w:br/>
              <w:t xml:space="preserve">        │   ├── ResBlock 3: Conv(48,48) -&gt; PReLU -&gt; Conv(48,48) + Skip │             │</w:t>
              <w:br/>
              <w:t xml:space="preserve">        │   └── ResBlock 4: Conv(48,48) -&gt; PReLU -&gt; Conv(48,48) + Skip │             │</w:t>
              <w:br/>
              <w:t xml:space="preserve">        │   ▼                                                           │             │</w:t>
              <w:br/>
              <w:t xml:space="preserve">        ├── [3. Mid-Level Feature Fusion]                               │             │</w:t>
              <w:br/>
              <w:t xml:space="preserve">        │   Conv2d(48 -&gt; 48, kernel=3, padding=1)                       │             │</w:t>
              <w:br/>
              <w:t xml:space="preserve">        │   Tensor Shape: [B, 48, H, W]                                 │             │</w:t>
              <w:br/>
              <w:t xml:space="preserve">        │   ▼                                                           │             │</w:t>
              <w:br/>
              <w:t xml:space="preserve">        │   (+) Elementwise Addition ◄──────────────────────────────────┘             │</w:t>
              <w:br/>
              <w:t xml:space="preserve">        │   ▼                                                                         │</w:t>
              <w:br/>
              <w:t xml:space="preserve">        ├── [4. Sub-Pixel Reconstruction Tail]                                        │</w:t>
              <w:br/>
              <w:t xml:space="preserve">        │   Conv2d(48 -&gt; 12, kernel=3, padding=1)                                     │</w:t>
              <w:br/>
              <w:t xml:space="preserve">        │   nn.PixelShuffle(upscale_factor=2)                                         │</w:t>
              <w:br/>
              <w:t xml:space="preserve">        │   Tensor Shape: [B, 3, 2H, 2W]                                              │</w:t>
              <w:br/>
              <w:t xml:space="preserve">        │   ▼                                                                         │</w:t>
              <w:br/>
              <w:t xml:space="preserve">        ├── [5. Analytical Zero-Mean Residual Projection]                              │</w:t>
              <w:br/>
              <w:t xml:space="preserve">        │   R_zero = R - mean(R, dim=[-2, -1], keepdim=True)                          │</w:t>
              <w:br/>
              <w:t xml:space="preserve">        │   Guarantee: E[R_zero] = 0 (Preserves scene radiometric baseline)           │</w:t>
              <w:br/>
              <w:t xml:space="preserve">        │   ▼                                                                         │</w:t>
              <w:br/>
              <w:t xml:space="preserve">        └── (+) Final Recomposition ◄─────────────────────────────────────────────────┘</w:t>
              <w:br/>
              <w:t xml:space="preserve">            Output Tensor: y ~ [B, 3, 2H, 2W] (5m Super-Resolved Imagery)</w:t>
            </w:r>
          </w:p>
        </w:tc>
      </w:tr>
    </w:tbl>
    <w:p>
      <w:pPr>
        <w:spacing w:before="0" w:after="80"/>
      </w:pPr>
    </w:p>
    <w:p>
      <w:pPr>
        <w:spacing w:before="40" w:after="100" w:line="270" w:lineRule="exact"/>
      </w:pPr>
      <w:r>
        <w:rPr>
          <w:rFonts w:ascii="Calibri" w:hAnsi="Calibri"/>
          <w:b w:val="0"/>
          <w:i w:val="0"/>
          <w:color w:val="2C3E50"/>
          <w:sz w:val="20"/>
        </w:rPr>
        <w:t>#### Key Mathematical Components:</w:t>
      </w:r>
    </w:p>
    <w:p>
      <w:pPr>
        <w:spacing w:before="20" w:after="40" w:line="260" w:lineRule="exact"/>
        <w:ind w:left="360" w:hanging="360"/>
      </w:pPr>
      <w:r>
        <w:rPr>
          <w:rFonts w:ascii="Calibri" w:hAnsi="Calibri"/>
          <w:b/>
          <w:color w:val="0F4C81"/>
          <w:sz w:val="20"/>
        </w:rPr>
        <w:t xml:space="preserve">1.  </w:t>
      </w:r>
      <w:r>
        <w:rPr>
          <w:rFonts w:ascii="Calibri" w:hAnsi="Calibri"/>
          <w:b/>
          <w:i w:val="0"/>
          <w:color w:val="2C3E50"/>
          <w:sz w:val="20"/>
        </w:rPr>
        <w:t>Parametric ReLU (PReLU)</w:t>
      </w:r>
      <w:r>
        <w:rPr>
          <w:rFonts w:ascii="Calibri" w:hAnsi="Calibri"/>
          <w:b w:val="0"/>
          <w:i w:val="0"/>
          <w:color w:val="2C3E50"/>
          <w:sz w:val="20"/>
        </w:rPr>
        <w:t>:</w:t>
      </w:r>
    </w:p>
    <w:p>
      <w:pPr>
        <w:spacing w:before="40" w:after="100" w:line="270" w:lineRule="exact"/>
      </w:pPr>
      <w:r>
        <w:rPr>
          <w:rFonts w:ascii="Cambria Math" w:hAnsi="Cambria Math"/>
          <w:i/>
          <w:color w:val="2C3E50"/>
          <w:sz w:val="20"/>
        </w:rPr>
        <w:t>f(x_i) = \begin{cases x_i, &amp; if  x_i &gt; 0 \\ a_i x_i, &amp; if  x_i \leq 0 \end{cases</w:t>
      </w:r>
    </w:p>
    <w:p>
      <w:pPr>
        <w:spacing w:before="40" w:after="100" w:line="270" w:lineRule="exact"/>
      </w:pPr>
      <w:r>
        <w:rPr>
          <w:rFonts w:ascii="Calibri" w:hAnsi="Calibri"/>
          <w:b w:val="0"/>
          <w:i w:val="0"/>
          <w:color w:val="2C3E50"/>
          <w:sz w:val="20"/>
        </w:rPr>
        <w:t xml:space="preserve">Learns negative slope </w:t>
      </w:r>
      <w:r>
        <w:rPr>
          <w:rFonts w:ascii="Cambria Math" w:hAnsi="Cambria Math"/>
          <w:i/>
          <w:color w:val="2C3E50"/>
          <w:sz w:val="20"/>
        </w:rPr>
        <w:t>a_i</w:t>
      </w:r>
      <w:r>
        <w:rPr>
          <w:rFonts w:ascii="Calibri" w:hAnsi="Calibri"/>
          <w:b w:val="0"/>
          <w:i w:val="0"/>
          <w:color w:val="2C3E50"/>
          <w:sz w:val="20"/>
        </w:rPr>
        <w:t xml:space="preserve"> per channel, preventing dead neurons in dark satellite pixels (deep water bodies, building shadow corridors).</w:t>
      </w:r>
    </w:p>
    <w:p>
      <w:pPr>
        <w:spacing w:before="20" w:after="40" w:line="260" w:lineRule="exact"/>
        <w:ind w:left="360" w:hanging="360"/>
      </w:pPr>
      <w:r>
        <w:rPr>
          <w:rFonts w:ascii="Calibri" w:hAnsi="Calibri"/>
          <w:b/>
          <w:color w:val="0F4C81"/>
          <w:sz w:val="20"/>
        </w:rPr>
        <w:t xml:space="preserve">2.  </w:t>
      </w:r>
      <w:r>
        <w:rPr>
          <w:rFonts w:ascii="Calibri" w:hAnsi="Calibri"/>
          <w:b/>
          <w:i w:val="0"/>
          <w:color w:val="2C3E50"/>
          <w:sz w:val="20"/>
        </w:rPr>
        <w:t>Sub-Pixel Convolution (`nn.PixelShuffle`)</w:t>
      </w:r>
      <w:r>
        <w:rPr>
          <w:rFonts w:ascii="Calibri" w:hAnsi="Calibri"/>
          <w:b w:val="0"/>
          <w:i w:val="0"/>
          <w:color w:val="2C3E50"/>
          <w:sz w:val="20"/>
        </w:rPr>
        <w:t>:</w:t>
      </w:r>
    </w:p>
    <w:p>
      <w:pPr>
        <w:spacing w:before="40" w:after="100" w:line="270" w:lineRule="exact"/>
      </w:pPr>
      <w:r>
        <w:rPr>
          <w:rFonts w:ascii="Calibri" w:hAnsi="Calibri"/>
          <w:b w:val="0"/>
          <w:i w:val="0"/>
          <w:color w:val="2C3E50"/>
          <w:sz w:val="20"/>
        </w:rPr>
        <w:t xml:space="preserve">Rearranges periodic channel elements </w:t>
      </w:r>
      <w:r>
        <w:rPr>
          <w:rFonts w:ascii="Cambria Math" w:hAnsi="Cambria Math"/>
          <w:i/>
          <w:color w:val="2C3E50"/>
          <w:sz w:val="20"/>
        </w:rPr>
        <w:t>C \cdot r^2</w:t>
      </w:r>
      <w:r>
        <w:rPr>
          <w:rFonts w:ascii="Calibri" w:hAnsi="Calibri"/>
          <w:b w:val="0"/>
          <w:i w:val="0"/>
          <w:color w:val="2C3E50"/>
          <w:sz w:val="20"/>
        </w:rPr>
        <w:t xml:space="preserve"> into spatial dimensions:</w:t>
      </w:r>
    </w:p>
    <w:p>
      <w:pPr>
        <w:spacing w:before="40" w:after="100" w:line="270" w:lineRule="exact"/>
      </w:pPr>
      <w:r>
        <w:rPr>
          <w:rFonts w:ascii="Cambria Math" w:hAnsi="Cambria Math"/>
          <w:i/>
          <w:color w:val="2C3E50"/>
          <w:sz w:val="20"/>
        </w:rPr>
        <w:t>PS(T)_{c, y, x = T_{c \cdot r^2 + r \cdot mod(y, r) + mod(x, r),\, \lfloor y/r \rfloor,\, \lfloor x/r \rfloor</w:t>
      </w:r>
    </w:p>
    <w:p>
      <w:pPr>
        <w:spacing w:before="40" w:after="100" w:line="270" w:lineRule="exact"/>
      </w:pPr>
      <w:r>
        <w:rPr>
          <w:rFonts w:ascii="Calibri" w:hAnsi="Calibri"/>
          <w:b w:val="0"/>
          <w:i w:val="0"/>
          <w:color w:val="2C3E50"/>
          <w:sz w:val="20"/>
        </w:rPr>
        <w:t>Eliminates high-frequency checkerboard artifacts inherent in standard transposed convolutions.</w:t>
      </w:r>
    </w:p>
    <w:p>
      <w:pPr>
        <w:spacing w:before="20" w:after="40" w:line="260" w:lineRule="exact"/>
        <w:ind w:left="360" w:hanging="360"/>
      </w:pPr>
      <w:r>
        <w:rPr>
          <w:rFonts w:ascii="Calibri" w:hAnsi="Calibri"/>
          <w:b/>
          <w:color w:val="0F4C81"/>
          <w:sz w:val="20"/>
        </w:rPr>
        <w:t xml:space="preserve">3.  </w:t>
      </w:r>
      <w:r>
        <w:rPr>
          <w:rFonts w:ascii="Calibri" w:hAnsi="Calibri"/>
          <w:b/>
          <w:i w:val="0"/>
          <w:color w:val="2C3E50"/>
          <w:sz w:val="20"/>
        </w:rPr>
        <w:t>Composite Training Loss Function</w:t>
      </w:r>
      <w:r>
        <w:rPr>
          <w:rFonts w:ascii="Calibri" w:hAnsi="Calibri"/>
          <w:b w:val="0"/>
          <w:i w:val="0"/>
          <w:color w:val="2C3E50"/>
          <w:sz w:val="20"/>
        </w:rPr>
        <w:t>:</w:t>
      </w:r>
    </w:p>
    <w:p>
      <w:pPr>
        <w:spacing w:before="40" w:after="100" w:line="270" w:lineRule="exact"/>
      </w:pPr>
      <w:r>
        <w:rPr>
          <w:rFonts w:ascii="Cambria Math" w:hAnsi="Cambria Math"/>
          <w:i/>
          <w:color w:val="2C3E50"/>
          <w:sz w:val="20"/>
        </w:rPr>
        <w:t>\mathcal{L_{total = \mathcal{L_{L1 + 2.5 \cdot \mathcal{L_{Sobel + 5.0 \cdot \mathcal{L_{Drift</w:t>
      </w:r>
    </w:p>
    <w:p>
      <w:pPr>
        <w:spacing w:before="40" w:after="100" w:line="270" w:lineRule="exact"/>
      </w:pPr>
      <w:r>
        <w:rPr>
          <w:rFonts w:ascii="Calibri" w:hAnsi="Calibri"/>
          <w:b w:val="0"/>
          <w:i w:val="0"/>
          <w:color w:val="2C3E50"/>
          <w:sz w:val="20"/>
        </w:rPr>
        <w:t>Where:</w:t>
      </w:r>
    </w:p>
    <w:p>
      <w:pPr>
        <w:pStyle w:val="ListBullet"/>
        <w:spacing w:before="20" w:after="40" w:line="260" w:lineRule="exact"/>
      </w:pPr>
      <w:r>
        <w:rPr>
          <w:rFonts w:ascii="Cambria Math" w:hAnsi="Cambria Math"/>
          <w:i/>
          <w:color w:val="2C3E50"/>
          <w:sz w:val="20"/>
        </w:rPr>
        <w:t>\mathcal{L_{L1 = \frac{1{N\sum \|y - \hat{y\|_1</w:t>
      </w:r>
      <w:r>
        <w:rPr>
          <w:rFonts w:ascii="Calibri" w:hAnsi="Calibri"/>
          <w:b w:val="0"/>
          <w:i w:val="0"/>
          <w:color w:val="2C3E50"/>
          <w:sz w:val="20"/>
        </w:rPr>
        <w:t xml:space="preserve"> enforces monotonic numerical convergence.</w:t>
      </w:r>
    </w:p>
    <w:p>
      <w:pPr>
        <w:pStyle w:val="ListBullet"/>
        <w:spacing w:before="20" w:after="40" w:line="260" w:lineRule="exact"/>
      </w:pPr>
      <w:r>
        <w:rPr>
          <w:rFonts w:ascii="Cambria Math" w:hAnsi="Cambria Math"/>
          <w:i/>
          <w:color w:val="2C3E50"/>
          <w:sz w:val="20"/>
        </w:rPr>
        <w:t>\mathcal{L_{Sobel = \|\nabla_{Sobel(y) - \nabla_{Sobel(\hat{y)\|_1</w:t>
      </w:r>
      <w:r>
        <w:rPr>
          <w:rFonts w:ascii="Calibri" w:hAnsi="Calibri"/>
          <w:b w:val="0"/>
          <w:i w:val="0"/>
          <w:color w:val="2C3E50"/>
          <w:sz w:val="20"/>
        </w:rPr>
        <w:t xml:space="preserve"> maximizes high-frequency spatial edge acuity.</w:t>
      </w:r>
    </w:p>
    <w:p>
      <w:pPr>
        <w:pStyle w:val="ListBullet"/>
        <w:spacing w:before="20" w:after="40" w:line="260" w:lineRule="exact"/>
      </w:pPr>
      <w:r>
        <w:rPr>
          <w:rFonts w:ascii="Cambria Math" w:hAnsi="Cambria Math"/>
          <w:i/>
          <w:color w:val="2C3E50"/>
          <w:sz w:val="20"/>
        </w:rPr>
        <w:t>\mathcal{L_{Drift = \|\mathbb{E[y] - \mathbb{E[\hat{y]\|_1</w:t>
      </w:r>
      <w:r>
        <w:rPr>
          <w:rFonts w:ascii="Calibri" w:hAnsi="Calibri"/>
          <w:b w:val="0"/>
          <w:i w:val="0"/>
          <w:color w:val="2C3E50"/>
          <w:sz w:val="20"/>
        </w:rPr>
        <w:t xml:space="preserve"> penalizes cross-sensor color shift.</w:t>
      </w:r>
    </w:p>
    <w:p>
      <w:pPr>
        <w:spacing w:before="120" w:after="120"/>
      </w:pPr>
      <w:r>
        <w:rPr>
          <w:color w:val="D2D7DC"/>
          <w:sz w:val="16"/>
        </w:rPr>
        <w:t>―――――――――――――――――――――――――――――――――――――――――――――</w:t>
      </w:r>
    </w:p>
    <w:p>
      <w:pPr>
        <w:keepNext/>
        <w:spacing w:before="200" w:after="40"/>
      </w:pPr>
      <w:r>
        <w:rPr>
          <w:rFonts w:ascii="Calibri" w:hAnsi="Calibri"/>
          <w:b/>
          <w:color w:val="2980B9"/>
          <w:sz w:val="23"/>
        </w:rPr>
        <w:t>5.2 Zero-Color-Drift &amp; Radiometric Invariance Engine</w:t>
      </w:r>
    </w:p>
    <w:p>
      <w:pPr>
        <w:spacing w:before="40" w:after="100" w:line="270" w:lineRule="exact"/>
      </w:pPr>
      <w:r>
        <w:rPr>
          <w:rFonts w:ascii="Calibri" w:hAnsi="Calibri"/>
          <w:b w:val="0"/>
          <w:i w:val="0"/>
          <w:color w:val="2C3E50"/>
          <w:sz w:val="20"/>
        </w:rPr>
        <w:t>In cross-satellite training (Sentinel-2 to VENµS), different sensor calibrations create an artificial greenish-yellow spectral bias. The system resolves this via a two-stage invariant architecture:</w:t>
      </w:r>
    </w:p>
    <w:p>
      <w:pPr>
        <w:spacing w:before="20" w:after="40" w:line="260" w:lineRule="exact"/>
        <w:ind w:left="360" w:hanging="360"/>
      </w:pPr>
      <w:r>
        <w:rPr>
          <w:rFonts w:ascii="Calibri" w:hAnsi="Calibri"/>
          <w:b/>
          <w:color w:val="0F4C81"/>
          <w:sz w:val="20"/>
        </w:rPr>
        <w:t xml:space="preserve">1.  </w:t>
      </w:r>
      <w:r>
        <w:rPr>
          <w:rFonts w:ascii="Calibri" w:hAnsi="Calibri"/>
          <w:b/>
          <w:i w:val="0"/>
          <w:color w:val="2C3E50"/>
          <w:sz w:val="20"/>
        </w:rPr>
        <w:t>$Y\text{CrCb}$ Color Space Uncoupling</w:t>
      </w:r>
      <w:r>
        <w:rPr>
          <w:rFonts w:ascii="Calibri" w:hAnsi="Calibri"/>
          <w:b w:val="0"/>
          <w:i w:val="0"/>
          <w:color w:val="2C3E50"/>
          <w:sz w:val="20"/>
        </w:rPr>
        <w:t>:</w:t>
      </w:r>
    </w:p>
    <w:p>
      <w:pPr>
        <w:spacing w:before="40" w:after="100" w:line="270" w:lineRule="exact"/>
      </w:pPr>
      <w:r>
        <w:rPr>
          <w:rFonts w:ascii="Cambria Math" w:hAnsi="Cambria Math"/>
          <w:i/>
          <w:color w:val="2C3E50"/>
          <w:sz w:val="20"/>
        </w:rPr>
        <w:t>\begin{bmatrix Y \\ Cr \\ Cb \end{bmatrix = \begin{bmatrix 0.299 &amp; 0.587 &amp; 0.114 \\ 0.500 &amp; -0.418 &amp; -0.082 \\ -0.168 &amp; -0.331 &amp; 0.500 \end{bmatrix \begin{bmatrix R \\ G \\ B \end{bmatrix</w:t>
      </w:r>
    </w:p>
    <w:p>
      <w:pPr>
        <w:spacing w:before="40" w:after="100" w:line="270" w:lineRule="exact"/>
      </w:pPr>
      <w:r>
        <w:rPr>
          <w:rFonts w:ascii="Calibri" w:hAnsi="Calibri"/>
          <w:b w:val="0"/>
          <w:i w:val="0"/>
          <w:color w:val="2C3E50"/>
          <w:sz w:val="20"/>
        </w:rPr>
        <w:t>Luminance (</w:t>
      </w:r>
      <w:r>
        <w:rPr>
          <w:rFonts w:ascii="Cambria Math" w:hAnsi="Cambria Math"/>
          <w:i/>
          <w:color w:val="2C3E50"/>
          <w:sz w:val="20"/>
        </w:rPr>
        <w:t>Y</w:t>
      </w:r>
      <w:r>
        <w:rPr>
          <w:rFonts w:ascii="Calibri" w:hAnsi="Calibri"/>
          <w:b w:val="0"/>
          <w:i w:val="0"/>
          <w:color w:val="2C3E50"/>
          <w:sz w:val="20"/>
        </w:rPr>
        <w:t xml:space="preserve">) captures 90%+ of spatial high-frequency structural detail. Deep edge reconstruction operates strictly on </w:t>
      </w:r>
      <w:r>
        <w:rPr>
          <w:rFonts w:ascii="Cambria Math" w:hAnsi="Cambria Math"/>
          <w:i/>
          <w:color w:val="2C3E50"/>
          <w:sz w:val="20"/>
        </w:rPr>
        <w:t>Y</w:t>
      </w:r>
      <w:r>
        <w:rPr>
          <w:rFonts w:ascii="Calibri" w:hAnsi="Calibri"/>
          <w:b w:val="0"/>
          <w:i w:val="0"/>
          <w:color w:val="2C3E50"/>
          <w:sz w:val="20"/>
        </w:rPr>
        <w:t>. Chrominance (</w:t>
      </w:r>
      <w:r>
        <w:rPr>
          <w:rFonts w:ascii="Cambria Math" w:hAnsi="Cambria Math"/>
          <w:i/>
          <w:color w:val="2C3E50"/>
          <w:sz w:val="20"/>
        </w:rPr>
        <w:t>Cr, Cb</w:t>
      </w:r>
      <w:r>
        <w:rPr>
          <w:rFonts w:ascii="Calibri" w:hAnsi="Calibri"/>
          <w:b w:val="0"/>
          <w:i w:val="0"/>
          <w:color w:val="2C3E50"/>
          <w:sz w:val="20"/>
        </w:rPr>
        <w:t xml:space="preserve">) is bicubically resized and recombined, guaranteeing </w:t>
      </w:r>
      <w:r>
        <w:rPr>
          <w:rFonts w:ascii="Calibri" w:hAnsi="Calibri"/>
          <w:b/>
          <w:i w:val="0"/>
          <w:color w:val="2C3E50"/>
          <w:sz w:val="20"/>
        </w:rPr>
        <w:t>0.00 color drift</w:t>
      </w:r>
      <w:r>
        <w:rPr>
          <w:rFonts w:ascii="Calibri" w:hAnsi="Calibri"/>
          <w:b w:val="0"/>
          <w:i w:val="0"/>
          <w:color w:val="2C3E50"/>
          <w:sz w:val="20"/>
        </w:rPr>
        <w:t>.</w:t>
      </w:r>
    </w:p>
    <w:p>
      <w:pPr>
        <w:spacing w:before="20" w:after="40" w:line="260" w:lineRule="exact"/>
        <w:ind w:left="360" w:hanging="360"/>
      </w:pPr>
      <w:r>
        <w:rPr>
          <w:rFonts w:ascii="Calibri" w:hAnsi="Calibri"/>
          <w:b/>
          <w:color w:val="0F4C81"/>
          <w:sz w:val="20"/>
        </w:rPr>
        <w:t xml:space="preserve">2.  </w:t>
      </w:r>
      <w:r>
        <w:rPr>
          <w:rFonts w:ascii="Calibri" w:hAnsi="Calibri"/>
          <w:b/>
          <w:i w:val="0"/>
          <w:color w:val="2C3E50"/>
          <w:sz w:val="20"/>
        </w:rPr>
        <w:t>Post-Processing Sharpening Disclosure</w:t>
      </w:r>
      <w:r>
        <w:rPr>
          <w:rFonts w:ascii="Calibri" w:hAnsi="Calibri"/>
          <w:b w:val="0"/>
          <w:i w:val="0"/>
          <w:color w:val="2C3E50"/>
          <w:sz w:val="20"/>
        </w:rPr>
        <w:t>:</w:t>
      </w:r>
    </w:p>
    <w:p>
      <w:pPr>
        <w:spacing w:before="40" w:after="100" w:line="270" w:lineRule="exact"/>
      </w:pPr>
      <w:r>
        <w:rPr>
          <w:rFonts w:ascii="Calibri" w:hAnsi="Calibri"/>
          <w:b w:val="0"/>
          <w:i w:val="0"/>
          <w:color w:val="2C3E50"/>
          <w:sz w:val="20"/>
        </w:rPr>
        <w:t xml:space="preserve">OpenCV baseline models (FSRCNN, ESPCN, EDSR) use a calibrated unsharp mask on the </w:t>
      </w:r>
      <w:r>
        <w:rPr>
          <w:rFonts w:ascii="Cambria Math" w:hAnsi="Cambria Math"/>
          <w:i/>
          <w:color w:val="2C3E50"/>
          <w:sz w:val="20"/>
        </w:rPr>
        <w:t>Y</w:t>
      </w:r>
      <w:r>
        <w:rPr>
          <w:rFonts w:ascii="Calibri" w:hAnsi="Calibri"/>
          <w:b w:val="0"/>
          <w:i w:val="0"/>
          <w:color w:val="2C3E50"/>
          <w:sz w:val="20"/>
        </w:rPr>
        <w:t xml:space="preserve"> channel as disclosed post-processing. </w:t>
      </w:r>
      <w:r>
        <w:rPr>
          <w:rFonts w:ascii="Consolas" w:hAnsi="Consolas"/>
          <w:color w:val="B42828"/>
          <w:sz w:val="19"/>
        </w:rPr>
        <w:t>Sentinel2SRNet</w:t>
      </w:r>
      <w:r>
        <w:rPr>
          <w:rFonts w:ascii="Calibri" w:hAnsi="Calibri"/>
          <w:b w:val="0"/>
          <w:i w:val="0"/>
          <w:color w:val="2C3E50"/>
          <w:sz w:val="20"/>
        </w:rPr>
        <w:t xml:space="preserve"> learns spatial gradients end-to-end and requires zero unsharp masking.</w:t>
      </w:r>
    </w:p>
    <w:p>
      <w:pPr>
        <w:spacing w:before="120" w:after="120"/>
      </w:pPr>
      <w:r>
        <w:rPr>
          <w:color w:val="D2D7DC"/>
          <w:sz w:val="16"/>
        </w:rPr>
        <w:t>―――――――――――――――――――――――――――――――――――――――――――――</w:t>
      </w:r>
    </w:p>
    <w:p>
      <w:pPr>
        <w:keepNext/>
        <w:spacing w:before="200" w:after="40"/>
      </w:pPr>
      <w:r>
        <w:rPr>
          <w:rFonts w:ascii="Calibri" w:hAnsi="Calibri"/>
          <w:b/>
          <w:color w:val="2980B9"/>
          <w:sz w:val="23"/>
        </w:rPr>
        <w:t>5.3 8-Way Dihedral Self-Ensemble (TTA) &amp; Uncertainty Quantification</w:t>
      </w:r>
    </w:p>
    <w:p>
      <w:pPr>
        <w:pStyle w:val="ListBullet"/>
        <w:spacing w:before="20" w:after="40" w:line="260" w:lineRule="exact"/>
      </w:pPr>
      <w:r>
        <w:rPr>
          <w:rFonts w:ascii="Calibri" w:hAnsi="Calibri"/>
          <w:b/>
          <w:i w:val="0"/>
          <w:color w:val="2C3E50"/>
          <w:sz w:val="20"/>
        </w:rPr>
        <w:t>Dihedral Group Symmetry ($D_4$)</w:t>
      </w:r>
      <w:r>
        <w:rPr>
          <w:rFonts w:ascii="Calibri" w:hAnsi="Calibri"/>
          <w:b w:val="0"/>
          <w:i w:val="0"/>
          <w:color w:val="2C3E50"/>
          <w:sz w:val="20"/>
        </w:rPr>
        <w:t>:</w:t>
      </w:r>
    </w:p>
    <w:p>
      <w:pPr>
        <w:spacing w:before="40" w:after="100" w:line="270" w:lineRule="exact"/>
      </w:pPr>
      <w:r>
        <w:rPr>
          <w:rFonts w:ascii="Calibri" w:hAnsi="Calibri"/>
          <w:b w:val="0"/>
          <w:i w:val="0"/>
          <w:color w:val="2C3E50"/>
          <w:sz w:val="20"/>
        </w:rPr>
        <w:t xml:space="preserve">Input </w:t>
      </w:r>
      <w:r>
        <w:rPr>
          <w:rFonts w:ascii="Cambria Math" w:hAnsi="Cambria Math"/>
          <w:i/>
          <w:color w:val="2C3E50"/>
          <w:sz w:val="20"/>
        </w:rPr>
        <w:t>x</w:t>
      </w:r>
      <w:r>
        <w:rPr>
          <w:rFonts w:ascii="Calibri" w:hAnsi="Calibri"/>
          <w:b w:val="0"/>
          <w:i w:val="0"/>
          <w:color w:val="2C3E50"/>
          <w:sz w:val="20"/>
        </w:rPr>
        <w:t xml:space="preserve"> is passed through 8 transformations </w:t>
      </w:r>
      <w:r>
        <w:rPr>
          <w:rFonts w:ascii="Cambria Math" w:hAnsi="Cambria Math"/>
          <w:i/>
          <w:color w:val="2C3E50"/>
          <w:sz w:val="20"/>
        </w:rPr>
        <w:t>T_i \in \{Rot_0, Rot_{90, Rot_{180, Rot_{270\ × \{Identity, Flip_H\</w:t>
      </w:r>
      <w:r>
        <w:rPr>
          <w:rFonts w:ascii="Calibri" w:hAnsi="Calibri"/>
          <w:b w:val="0"/>
          <w:i w:val="0"/>
          <w:color w:val="2C3E50"/>
          <w:sz w:val="20"/>
        </w:rPr>
        <w:t>:</w:t>
      </w:r>
    </w:p>
    <w:p>
      <w:pPr>
        <w:spacing w:before="40" w:after="100" w:line="270" w:lineRule="exact"/>
      </w:pPr>
      <w:r>
        <w:rPr>
          <w:rFonts w:ascii="Cambria Math" w:hAnsi="Cambria Math"/>
          <w:i/>
          <w:color w:val="2C3E50"/>
          <w:sz w:val="20"/>
        </w:rPr>
        <w:t>\hat{y_{ensemble = \frac{1{8\sum_{i=1^{8 T_i^{-1\left(f_\theta\left(T_i(x)\right)\right)</w:t>
      </w:r>
    </w:p>
    <w:p>
      <w:pPr>
        <w:pStyle w:val="ListBullet"/>
        <w:spacing w:before="20" w:after="40" w:line="260" w:lineRule="exact"/>
      </w:pPr>
      <w:r>
        <w:rPr>
          <w:rFonts w:ascii="Calibri" w:hAnsi="Calibri"/>
          <w:b/>
          <w:i w:val="0"/>
          <w:color w:val="2C3E50"/>
          <w:sz w:val="20"/>
        </w:rPr>
        <w:t>Uncertainty Variance Heatmap</w:t>
      </w:r>
      <w:r>
        <w:rPr>
          <w:rFonts w:ascii="Calibri" w:hAnsi="Calibri"/>
          <w:b w:val="0"/>
          <w:i w:val="0"/>
          <w:color w:val="2C3E50"/>
          <w:sz w:val="20"/>
        </w:rPr>
        <w:t>:</w:t>
      </w:r>
    </w:p>
    <w:p>
      <w:pPr>
        <w:spacing w:before="40" w:after="100" w:line="270" w:lineRule="exact"/>
      </w:pPr>
      <w:r>
        <w:rPr>
          <w:rFonts w:ascii="Cambria Math" w:hAnsi="Cambria Math"/>
          <w:i/>
          <w:color w:val="2C3E50"/>
          <w:sz w:val="20"/>
        </w:rPr>
        <w:t>\sigma^2(u, v) = \frac{1{8\sum_{i=1^{8 \left(T_i^{-1\left(f_\theta\left(T_i(x)\right)\right)(u, v) - \hat{y_{ensemble(u, v)\right)^2</w:t>
      </w:r>
    </w:p>
    <w:p>
      <w:pPr>
        <w:spacing w:before="40" w:after="100" w:line="270" w:lineRule="exact"/>
      </w:pPr>
      <w:r>
        <w:rPr>
          <w:rFonts w:ascii="Calibri" w:hAnsi="Calibri"/>
          <w:b w:val="0"/>
          <w:i w:val="0"/>
          <w:color w:val="2C3E50"/>
          <w:sz w:val="20"/>
        </w:rPr>
        <w:t>Yields a per-pixel confidence map: low variance indicates structural certainty; high variance flags ambiguous cloud shadows or sensor saturation.</w:t>
      </w:r>
    </w:p>
    <w:p>
      <w:pPr>
        <w:spacing w:before="120" w:after="120"/>
      </w:pPr>
      <w:r>
        <w:rPr>
          <w:color w:val="D2D7DC"/>
          <w:sz w:val="16"/>
        </w:rPr>
        <w:t>―――――――――――――――――――――――――――――――――――――――――――――</w:t>
      </w:r>
    </w:p>
    <w:p>
      <w:pPr>
        <w:keepNext/>
        <w:spacing w:before="280" w:after="80"/>
      </w:pPr>
      <w:r>
        <w:rPr>
          <w:rFonts w:ascii="Calibri" w:hAnsi="Calibri"/>
          <w:b/>
          <w:color w:val="0F4C81"/>
          <w:sz w:val="28"/>
        </w:rPr>
        <w:t>6. DATA FLOW DESIGN</w:t>
      </w:r>
    </w:p>
    <w:p>
      <w:pPr>
        <w:keepNext/>
        <w:spacing w:before="200" w:after="40"/>
      </w:pPr>
      <w:r>
        <w:rPr>
          <w:rFonts w:ascii="Calibri" w:hAnsi="Calibri"/>
          <w:b/>
          <w:color w:val="2980B9"/>
          <w:sz w:val="23"/>
        </w:rPr>
        <w:t>6.1 Level-0 Context Data Flow Diagram (DFD)</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60" w:type="dxa"/>
              <w:right w:w="160" w:type="dxa"/>
            </w:tcMar>
            <w:tcBorders>
              <w:top w:val="single" w:sz="4" w:space="0" w:color="D0D7DE"/>
              <w:left w:val="single" w:sz="4" w:space="0" w:color="D0D7DE"/>
              <w:bottom w:val="single" w:sz="4" w:space="0" w:color="D0D7DE"/>
              <w:right w:val="single" w:sz="4" w:space="0" w:color="D0D7DE"/>
            </w:tcBorders>
          </w:tcPr>
          <w:p>
            <w:pPr>
              <w:spacing w:before="40" w:after="40" w:line="240" w:lineRule="exact"/>
            </w:pPr>
            <w:r>
              <w:rPr>
                <w:rFonts w:ascii="Consolas" w:hAnsi="Consolas"/>
                <w:color w:val="212529"/>
                <w:sz w:val="17"/>
              </w:rPr>
              <w:t xml:space="preserve">  [User / Analyst] </w:t>
              <w:br/>
              <w:t xml:space="preserve">         │  (Lat/Lon, Preset ID, Mode Selection)</w:t>
              <w:br/>
              <w:t xml:space="preserve">         ▼</w:t>
              <w:br/>
              <w:t>┌─────────────────────────────────────────────────────────────┐</w:t>
              <w:br/>
              <w:t>│    SENTINEL-2 SUPER-RESOLUTION WEB GIS STUDIO (SYSTEM)      │</w:t>
              <w:br/>
              <w:t>└─────────────────────────────────────────────────────────────┘</w:t>
              <w:br/>
              <w:t xml:space="preserve">         │  (5m / 2.5m Super-Resolved Image + Metrics + Heatmaps)</w:t>
              <w:br/>
              <w:t xml:space="preserve">         ▼</w:t>
              <w:br/>
              <w:t xml:space="preserve">  [User / Analyst]</w:t>
            </w:r>
          </w:p>
        </w:tc>
      </w:tr>
    </w:tbl>
    <w:p>
      <w:pPr>
        <w:spacing w:before="0" w:after="80"/>
      </w:pPr>
    </w:p>
    <w:p>
      <w:pPr>
        <w:keepNext/>
        <w:spacing w:before="200" w:after="40"/>
      </w:pPr>
      <w:r>
        <w:rPr>
          <w:rFonts w:ascii="Calibri" w:hAnsi="Calibri"/>
          <w:b/>
          <w:color w:val="2980B9"/>
          <w:sz w:val="23"/>
        </w:rPr>
        <w:t>6.2 Level-1 Detailed Data Flow Diagram (DFD)</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60" w:type="dxa"/>
              <w:right w:w="160" w:type="dxa"/>
            </w:tcMar>
            <w:tcBorders>
              <w:top w:val="single" w:sz="4" w:space="0" w:color="D0D7DE"/>
              <w:left w:val="single" w:sz="4" w:space="0" w:color="D0D7DE"/>
              <w:bottom w:val="single" w:sz="4" w:space="0" w:color="D0D7DE"/>
              <w:right w:val="single" w:sz="4" w:space="0" w:color="D0D7DE"/>
            </w:tcBorders>
          </w:tcPr>
          <w:p>
            <w:pPr>
              <w:spacing w:before="40" w:after="40" w:line="240" w:lineRule="exact"/>
            </w:pPr>
            <w:r>
              <w:rPr>
                <w:rFonts w:ascii="Consolas" w:hAnsi="Consolas"/>
                <w:color w:val="212529"/>
                <w:sz w:val="17"/>
              </w:rPr>
              <w:t>[User Interface] ──(1. Click / Pan)──► [FastAPI Controller]</w:t>
              <w:br/>
              <w:t xml:space="preserve">                                              │</w:t>
              <w:br/>
              <w:t xml:space="preserve">                      ┌───────────────────────┴───────────────────────┐</w:t>
              <w:br/>
              <w:t xml:space="preserve">                      │ (Check Cache)                                 │ (Fetch Tile)</w:t>
              <w:br/>
              <w:t xml:space="preserve">                      ▼                                               ▼</w:t>
              <w:br/>
              <w:t xml:space="preserve">             [Multi-Tier Cache]                             [Esri / Local Tiles]</w:t>
              <w:br/>
              <w:t xml:space="preserve">                      │                                               │</w:t>
              <w:br/>
              <w:t xml:space="preserve">                      └───────────────────────┬───────────────────────┘</w:t>
              <w:br/>
              <w:t xml:space="preserve">                                              │ (Raw 10m RGB Tensor)</w:t>
              <w:br/>
              <w:t xml:space="preserve">                                              ▼</w:t>
              <w:br/>
              <w:t xml:space="preserve">                                 [Pre-Processing Engine]</w:t>
              <w:br/>
              <w:t xml:space="preserve">                                 • 2%-98% Percentile Norm</w:t>
              <w:br/>
              <w:t xml:space="preserve">                                 • YCrCb Color Separation</w:t>
              <w:br/>
              <w:t xml:space="preserve">                                              │</w:t>
              <w:br/>
              <w:t xml:space="preserve">                                              ▼</w:t>
              <w:br/>
              <w:t xml:space="preserve">                                   [Inference Dispatcher]</w:t>
              <w:br/>
              <w:t xml:space="preserve">                                  /                      \</w:t>
              <w:br/>
              <w:t xml:space="preserve">                  (Single Pass)  /                        \ (8x TTA Enabled)</w:t>
              <w:br/>
              <w:t xml:space="preserve">                                ▼                          ▼</w:t>
              <w:br/>
              <w:t xml:space="preserve">                     [Sentinel2SRNet Core]       [8-Way Dihedral Engine]</w:t>
              <w:br/>
              <w:t xml:space="preserve">                                │                          │</w:t>
              <w:br/>
              <w:t xml:space="preserve">                                │                          ▼</w:t>
              <w:br/>
              <w:t xml:space="preserve">                                │                 [Variance Estimator]</w:t>
              <w:br/>
              <w:t xml:space="preserve">                                │                 (Confidence Heatmap)</w:t>
              <w:br/>
              <w:t xml:space="preserve">                                └─────────────┬────────────┘</w:t>
              <w:br/>
              <w:t xml:space="preserve">                                              │ (5m Y-Channel + Chroma)</w:t>
              <w:br/>
              <w:t xml:space="preserve">                                              ▼</w:t>
              <w:br/>
              <w:t xml:space="preserve">                                  [Recomposition Engine]</w:t>
              <w:br/>
              <w:t xml:space="preserve">                                  • Inverse YCrCb to RGB</w:t>
              <w:br/>
              <w:t xml:space="preserve">                                  • Zero-Mean Spatial Residual</w:t>
              <w:br/>
              <w:t xml:space="preserve">                                  • VARI / CIR Synthesizer</w:t>
              <w:br/>
              <w:t xml:space="preserve">                                              │</w:t>
              <w:br/>
              <w:t xml:space="preserve">                                              ▼</w:t>
              <w:br/>
              <w:t xml:space="preserve">                                    [REST JSON / Base64]</w:t>
              <w:br/>
              <w:t xml:space="preserve">                                              │</w:t>
              <w:br/>
              <w:t xml:space="preserve">                                              ▼</w:t>
              <w:br/>
              <w:t xml:space="preserve">                                  [Leaflet.js Studio UI]</w:t>
            </w:r>
          </w:p>
        </w:tc>
      </w:tr>
    </w:tbl>
    <w:p>
      <w:pPr>
        <w:spacing w:before="0" w:after="80"/>
      </w:pPr>
    </w:p>
    <w:p>
      <w:pPr>
        <w:spacing w:before="120" w:after="120"/>
      </w:pPr>
      <w:r>
        <w:rPr>
          <w:color w:val="D2D7DC"/>
          <w:sz w:val="16"/>
        </w:rPr>
        <w:t>―――――――――――――――――――――――――――――――――――――――――――――</w:t>
      </w:r>
    </w:p>
    <w:p>
      <w:pPr>
        <w:keepNext/>
        <w:spacing w:before="280" w:after="80"/>
      </w:pPr>
      <w:r>
        <w:rPr>
          <w:rFonts w:ascii="Calibri" w:hAnsi="Calibri"/>
          <w:b/>
          <w:color w:val="0F4C81"/>
          <w:sz w:val="28"/>
        </w:rPr>
        <w:t>7. SYSTEM INTERFACES &amp; REST API DESIGN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016"/>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016"/>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016"/>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016"/>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r>
      <w:tr>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GET</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None</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HTML Web Page</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Serves the interactive Web GIS Studio.</w:t>
            </w:r>
          </w:p>
        </w:tc>
      </w:tr>
      <w:tr>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GET</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/health</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None</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{"status": "ok", "engines": [...]}</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Health check &amp; neural model registry verification.</w:t>
            </w:r>
          </w:p>
        </w:tc>
      </w:tr>
      <w:tr>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GET</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/api/models</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None</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{"models": [{"id": ..., "params": ...}]}</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Returns metadata, latency, and parameter counts.</w:t>
            </w:r>
          </w:p>
        </w:tc>
      </w:tr>
      <w:tr>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GET</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/api/samples</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None</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{"samples": [{"id": ..., "name": ...}]}</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Lists pre-loaded multi-biome evaluation benchmark patches.</w:t>
            </w:r>
          </w:p>
        </w:tc>
      </w:tr>
      <w:tr>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POST</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/api/sr/predict-tile</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{"z": int, "x": int, "y": int, "model": str}</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Base64 PNG tile image</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Returns 2x super-resolved map tile for Slippy Map rendering.</w:t>
            </w:r>
          </w:p>
        </w:tc>
      </w:tr>
      <w:tr>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POST</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/api/sr/predict-location</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{"lat": float, "lon": float, "zoom": int, ...}</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{"sr_image": "...", "psnr": ..., "ssim": ...}</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Fetches live coordinates and executes super-resolution.</w:t>
            </w:r>
          </w:p>
        </w:tc>
      </w:tr>
      <w:tr>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POST</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color w:val="2C3E50"/>
                <w:sz w:val="18"/>
              </w:rPr>
              <w:t>/api/sr/predict-sample/{id}</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 xml:space="preserve">Path: </w:t>
            </w:r>
            <w:r>
              <w:rPr>
                <w:rFonts w:ascii="Calibri" w:hAnsi="Calibri"/>
                <w:color w:val="2C3E50"/>
                <w:sz w:val="18"/>
              </w:rPr>
              <w:t>id</w:t>
            </w:r>
            <w:r>
              <w:rPr>
                <w:rFonts w:ascii="Calibri" w:hAnsi="Calibri"/>
                <w:b w:val="0"/>
                <w:i w:val="0"/>
                <w:color w:val="2C3E50"/>
                <w:sz w:val="18"/>
              </w:rPr>
              <w:t xml:space="preserve"> (0-7), Query: </w:t>
            </w:r>
            <w:r>
              <w:rPr>
                <w:rFonts w:ascii="Calibri" w:hAnsi="Calibri"/>
                <w:color w:val="2C3E50"/>
                <w:sz w:val="18"/>
              </w:rPr>
              <w:t>model</w:t>
            </w:r>
            <w:r>
              <w:rPr>
                <w:rFonts w:ascii="Calibri" w:hAnsi="Calibri"/>
                <w:b w:val="0"/>
                <w:i w:val="0"/>
                <w:color w:val="2C3E50"/>
                <w:sz w:val="18"/>
              </w:rPr>
              <w:t xml:space="preserve">, </w:t>
            </w:r>
            <w:r>
              <w:rPr>
                <w:rFonts w:ascii="Calibri" w:hAnsi="Calibri"/>
                <w:color w:val="2C3E50"/>
                <w:sz w:val="18"/>
              </w:rPr>
              <w:t>tta</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Full JSON telemetry + Base64 triplets + Spectral modes</w:t>
            </w:r>
          </w:p>
        </w:tc>
        <w:tc>
          <w:tcPr>
            <w:tcW w:type="dxa" w:w="2016"/>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Ground-truth benchmark evaluation with live quantitative metrics.</w:t>
            </w:r>
          </w:p>
        </w:tc>
      </w:tr>
      <w:tr>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POST</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/api/sr/predict</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color w:val="2C3E50"/>
                <w:sz w:val="18"/>
              </w:rPr>
              <w:t>multipart/form-data</w:t>
            </w:r>
            <w:r>
              <w:rPr>
                <w:rFonts w:ascii="Calibri" w:hAnsi="Calibri"/>
                <w:b w:val="0"/>
                <w:i w:val="0"/>
                <w:color w:val="2C3E50"/>
                <w:sz w:val="18"/>
              </w:rPr>
              <w:t xml:space="preserve"> (file)</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Image byte stream (PNG)</w:t>
            </w:r>
          </w:p>
        </w:tc>
        <w:tc>
          <w:tcPr>
            <w:tcW w:type="dxa" w:w="2016"/>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Upload any custom satellite GeoTIFF/PNG for 2x enhancement.</w:t>
            </w:r>
          </w:p>
        </w:tc>
      </w:tr>
    </w:tbl>
    <w:p>
      <w:pPr>
        <w:spacing w:before="0" w:after="80"/>
      </w:pPr>
    </w:p>
    <w:p>
      <w:pPr>
        <w:spacing w:before="120" w:after="120"/>
      </w:pPr>
      <w:r>
        <w:rPr>
          <w:color w:val="D2D7DC"/>
          <w:sz w:val="16"/>
        </w:rPr>
        <w:t>―――――――――――――――――――――――――――――――――――――――――――――</w:t>
      </w:r>
    </w:p>
    <w:p>
      <w:pPr>
        <w:keepNext/>
        <w:spacing w:before="280" w:after="80"/>
      </w:pPr>
      <w:r>
        <w:rPr>
          <w:rFonts w:ascii="Calibri" w:hAnsi="Calibri"/>
          <w:b/>
          <w:color w:val="0F4C81"/>
          <w:sz w:val="28"/>
        </w:rPr>
        <w:t>8. HARDWARE, SOFTWARE &amp; DEPLOYMENT ARCHITECTURE</w:t>
      </w:r>
    </w:p>
    <w:p>
      <w:pPr>
        <w:keepNext/>
        <w:spacing w:before="200" w:after="40"/>
      </w:pPr>
      <w:r>
        <w:rPr>
          <w:rFonts w:ascii="Calibri" w:hAnsi="Calibri"/>
          <w:b/>
          <w:color w:val="2980B9"/>
          <w:sz w:val="23"/>
        </w:rPr>
        <w:t>8.1 Software Environment &amp; Dependencies</w:t>
      </w:r>
    </w:p>
    <w:p>
      <w:pPr>
        <w:pStyle w:val="ListBullet"/>
        <w:spacing w:before="20" w:after="40" w:line="260" w:lineRule="exact"/>
      </w:pPr>
      <w:r>
        <w:rPr>
          <w:rFonts w:ascii="Calibri" w:hAnsi="Calibri"/>
          <w:b/>
          <w:i w:val="0"/>
          <w:color w:val="2C3E50"/>
          <w:sz w:val="20"/>
        </w:rPr>
        <w:t>Core Runtime</w:t>
      </w:r>
      <w:r>
        <w:rPr>
          <w:rFonts w:ascii="Calibri" w:hAnsi="Calibri"/>
          <w:b w:val="0"/>
          <w:i w:val="0"/>
          <w:color w:val="2C3E50"/>
          <w:sz w:val="20"/>
        </w:rPr>
        <w:t>: Python 3.12 (CPython x86_64)</w:t>
      </w:r>
    </w:p>
    <w:p>
      <w:pPr>
        <w:pStyle w:val="ListBullet"/>
        <w:spacing w:before="20" w:after="40" w:line="260" w:lineRule="exact"/>
      </w:pPr>
      <w:r>
        <w:rPr>
          <w:rFonts w:ascii="Calibri" w:hAnsi="Calibri"/>
          <w:b/>
          <w:i w:val="0"/>
          <w:color w:val="2C3E50"/>
          <w:sz w:val="20"/>
        </w:rPr>
        <w:t>Deep Learning Framework</w:t>
      </w:r>
      <w:r>
        <w:rPr>
          <w:rFonts w:ascii="Calibri" w:hAnsi="Calibri"/>
          <w:b w:val="0"/>
          <w:i w:val="0"/>
          <w:color w:val="2C3E50"/>
          <w:sz w:val="20"/>
        </w:rPr>
        <w:t>: PyTorch 2.0+ (CPU optimized inference)</w:t>
      </w:r>
    </w:p>
    <w:p>
      <w:pPr>
        <w:pStyle w:val="ListBullet"/>
        <w:spacing w:before="20" w:after="40" w:line="260" w:lineRule="exact"/>
      </w:pPr>
      <w:r>
        <w:rPr>
          <w:rFonts w:ascii="Calibri" w:hAnsi="Calibri"/>
          <w:b/>
          <w:i w:val="0"/>
          <w:color w:val="2C3E50"/>
          <w:sz w:val="20"/>
        </w:rPr>
        <w:t>Computer Vision</w:t>
      </w:r>
      <w:r>
        <w:rPr>
          <w:rFonts w:ascii="Calibri" w:hAnsi="Calibri"/>
          <w:b w:val="0"/>
          <w:i w:val="0"/>
          <w:color w:val="2C3E50"/>
          <w:sz w:val="20"/>
        </w:rPr>
        <w:t>: OpenCV 4.9.0 (</w:t>
      </w:r>
      <w:r>
        <w:rPr>
          <w:rFonts w:ascii="Consolas" w:hAnsi="Consolas"/>
          <w:color w:val="B42828"/>
          <w:sz w:val="19"/>
        </w:rPr>
        <w:t>opencv-contrib-python</w:t>
      </w:r>
      <w:r>
        <w:rPr>
          <w:rFonts w:ascii="Calibri" w:hAnsi="Calibri"/>
          <w:b w:val="0"/>
          <w:i w:val="0"/>
          <w:color w:val="2C3E50"/>
          <w:sz w:val="20"/>
        </w:rPr>
        <w:t xml:space="preserve"> with </w:t>
      </w:r>
      <w:r>
        <w:rPr>
          <w:rFonts w:ascii="Consolas" w:hAnsi="Consolas"/>
          <w:color w:val="B42828"/>
          <w:sz w:val="19"/>
        </w:rPr>
        <w:t>dnn_superres</w:t>
      </w:r>
      <w:r>
        <w:rPr>
          <w:rFonts w:ascii="Calibri" w:hAnsi="Calibri"/>
          <w:b w:val="0"/>
          <w:i w:val="0"/>
          <w:color w:val="2C3E50"/>
          <w:sz w:val="20"/>
        </w:rPr>
        <w:t>)</w:t>
      </w:r>
    </w:p>
    <w:p>
      <w:pPr>
        <w:pStyle w:val="ListBullet"/>
        <w:spacing w:before="20" w:after="40" w:line="260" w:lineRule="exact"/>
      </w:pPr>
      <w:r>
        <w:rPr>
          <w:rFonts w:ascii="Calibri" w:hAnsi="Calibri"/>
          <w:b/>
          <w:i w:val="0"/>
          <w:color w:val="2C3E50"/>
          <w:sz w:val="20"/>
        </w:rPr>
        <w:t>Backend Web Framework</w:t>
      </w:r>
      <w:r>
        <w:rPr>
          <w:rFonts w:ascii="Calibri" w:hAnsi="Calibri"/>
          <w:b w:val="0"/>
          <w:i w:val="0"/>
          <w:color w:val="2C3E50"/>
          <w:sz w:val="20"/>
        </w:rPr>
        <w:t>: FastAPI 0.110.0 + Uvicorn 0.28.0 (Asynchronous ASGI)</w:t>
      </w:r>
    </w:p>
    <w:p>
      <w:pPr>
        <w:pStyle w:val="ListBullet"/>
        <w:spacing w:before="20" w:after="40" w:line="260" w:lineRule="exact"/>
      </w:pPr>
      <w:r>
        <w:rPr>
          <w:rFonts w:ascii="Calibri" w:hAnsi="Calibri"/>
          <w:b/>
          <w:i w:val="0"/>
          <w:color w:val="2C3E50"/>
          <w:sz w:val="20"/>
        </w:rPr>
        <w:t>Frontend Libraries</w:t>
      </w:r>
      <w:r>
        <w:rPr>
          <w:rFonts w:ascii="Calibri" w:hAnsi="Calibri"/>
          <w:b w:val="0"/>
          <w:i w:val="0"/>
          <w:color w:val="2C3E50"/>
          <w:sz w:val="20"/>
        </w:rPr>
        <w:t>: Leaflet.js 1.9.4, FontAwesome 6.0, Pure ES6 JavaScript</w:t>
      </w:r>
    </w:p>
    <w:p>
      <w:pPr>
        <w:pStyle w:val="ListBullet"/>
        <w:spacing w:before="20" w:after="40" w:line="260" w:lineRule="exact"/>
      </w:pPr>
      <w:r>
        <w:rPr>
          <w:rFonts w:ascii="Calibri" w:hAnsi="Calibri"/>
          <w:b/>
          <w:i w:val="0"/>
          <w:color w:val="2C3E50"/>
          <w:sz w:val="20"/>
        </w:rPr>
        <w:t>Automated Documentation</w:t>
      </w:r>
      <w:r>
        <w:rPr>
          <w:rFonts w:ascii="Calibri" w:hAnsi="Calibri"/>
          <w:b w:val="0"/>
          <w:i w:val="0"/>
          <w:color w:val="2C3E50"/>
          <w:sz w:val="20"/>
        </w:rPr>
        <w:t>: python-docx 1.1.2</w:t>
      </w:r>
    </w:p>
    <w:p>
      <w:pPr>
        <w:keepNext/>
        <w:spacing w:before="200" w:after="40"/>
      </w:pPr>
      <w:r>
        <w:rPr>
          <w:rFonts w:ascii="Calibri" w:hAnsi="Calibri"/>
          <w:b/>
          <w:color w:val="2980B9"/>
          <w:sz w:val="23"/>
        </w:rPr>
        <w:t>8.2 Deployment Topologies</w:t>
      </w:r>
    </w:p>
    <w:p>
      <w:pPr>
        <w:spacing w:before="20" w:after="40" w:line="260" w:lineRule="exact"/>
        <w:ind w:left="360" w:hanging="360"/>
      </w:pPr>
      <w:r>
        <w:rPr>
          <w:rFonts w:ascii="Calibri" w:hAnsi="Calibri"/>
          <w:b/>
          <w:color w:val="0F4C81"/>
          <w:sz w:val="20"/>
        </w:rPr>
        <w:t xml:space="preserve">1.  </w:t>
      </w:r>
      <w:r>
        <w:rPr>
          <w:rFonts w:ascii="Calibri" w:hAnsi="Calibri"/>
          <w:b/>
          <w:i w:val="0"/>
          <w:color w:val="2C3E50"/>
          <w:sz w:val="20"/>
        </w:rPr>
        <w:t>Standalone Windows Desktop (Launcher Mode)</w:t>
      </w:r>
      <w:r>
        <w:rPr>
          <w:rFonts w:ascii="Calibri" w:hAnsi="Calibri"/>
          <w:b w:val="0"/>
          <w:i w:val="0"/>
          <w:color w:val="2C3E50"/>
          <w:sz w:val="20"/>
        </w:rPr>
        <w:t>:</w:t>
      </w:r>
    </w:p>
    <w:p>
      <w:pPr>
        <w:pStyle w:val="ListBullet"/>
        <w:spacing w:before="20" w:after="40" w:line="260" w:lineRule="exact"/>
      </w:pPr>
      <w:r>
        <w:rPr>
          <w:rFonts w:ascii="Calibri" w:hAnsi="Calibri"/>
          <w:b w:val="0"/>
          <w:i w:val="0"/>
          <w:color w:val="2C3E50"/>
          <w:sz w:val="20"/>
        </w:rPr>
        <w:t xml:space="preserve">Double-click </w:t>
      </w:r>
      <w:r>
        <w:rPr>
          <w:rFonts w:ascii="Consolas" w:hAnsi="Consolas"/>
          <w:color w:val="B42828"/>
          <w:sz w:val="19"/>
        </w:rPr>
        <w:t>start.bat</w:t>
      </w:r>
      <w:r>
        <w:rPr>
          <w:rFonts w:ascii="Calibri" w:hAnsi="Calibri"/>
          <w:b w:val="0"/>
          <w:i w:val="0"/>
          <w:color w:val="2C3E50"/>
          <w:sz w:val="20"/>
        </w:rPr>
        <w:t xml:space="preserve"> or execute </w:t>
      </w:r>
      <w:r>
        <w:rPr>
          <w:rFonts w:ascii="Consolas" w:hAnsi="Consolas"/>
          <w:color w:val="B42828"/>
          <w:sz w:val="19"/>
        </w:rPr>
        <w:t>.\run.ps1</w:t>
      </w:r>
      <w:r>
        <w:rPr>
          <w:rFonts w:ascii="Calibri" w:hAnsi="Calibri"/>
          <w:b w:val="0"/>
          <w:i w:val="0"/>
          <w:color w:val="2C3E50"/>
          <w:sz w:val="20"/>
        </w:rPr>
        <w:t>.</w:t>
      </w:r>
    </w:p>
    <w:p>
      <w:pPr>
        <w:pStyle w:val="ListBullet"/>
        <w:spacing w:before="20" w:after="40" w:line="260" w:lineRule="exact"/>
      </w:pPr>
      <w:r>
        <w:rPr>
          <w:rFonts w:ascii="Calibri" w:hAnsi="Calibri"/>
          <w:b w:val="0"/>
          <w:i w:val="0"/>
          <w:color w:val="2C3E50"/>
          <w:sz w:val="20"/>
        </w:rPr>
        <w:t xml:space="preserve">Dynamic path resolution locates Python environment and starts local ASGI daemon on </w:t>
      </w:r>
      <w:r>
        <w:rPr>
          <w:rFonts w:ascii="Consolas" w:hAnsi="Consolas"/>
          <w:color w:val="B42828"/>
          <w:sz w:val="19"/>
        </w:rPr>
        <w:t>127.0.0.1:8000</w:t>
      </w:r>
      <w:r>
        <w:rPr>
          <w:rFonts w:ascii="Calibri" w:hAnsi="Calibri"/>
          <w:b w:val="0"/>
          <w:i w:val="0"/>
          <w:color w:val="2C3E50"/>
          <w:sz w:val="20"/>
        </w:rPr>
        <w:t>.</w:t>
      </w:r>
    </w:p>
    <w:p>
      <w:pPr>
        <w:spacing w:before="20" w:after="40" w:line="260" w:lineRule="exact"/>
        <w:ind w:left="360" w:hanging="360"/>
      </w:pPr>
      <w:r>
        <w:rPr>
          <w:rFonts w:ascii="Calibri" w:hAnsi="Calibri"/>
          <w:b/>
          <w:color w:val="0F4C81"/>
          <w:sz w:val="20"/>
        </w:rPr>
        <w:t xml:space="preserve">2.  </w:t>
      </w:r>
      <w:r>
        <w:rPr>
          <w:rFonts w:ascii="Calibri" w:hAnsi="Calibri"/>
          <w:b/>
          <w:i w:val="0"/>
          <w:color w:val="2C3E50"/>
          <w:sz w:val="20"/>
        </w:rPr>
        <w:t>Containerized Linux Microservice (Production Mode)</w:t>
      </w:r>
      <w:r>
        <w:rPr>
          <w:rFonts w:ascii="Calibri" w:hAnsi="Calibri"/>
          <w:b w:val="0"/>
          <w:i w:val="0"/>
          <w:color w:val="2C3E50"/>
          <w:sz w:val="20"/>
        </w:rPr>
        <w:t>:</w:t>
      </w:r>
    </w:p>
    <w:p>
      <w:pPr>
        <w:pStyle w:val="ListBullet"/>
        <w:spacing w:before="20" w:after="40" w:line="260" w:lineRule="exact"/>
      </w:pPr>
      <w:r>
        <w:rPr>
          <w:rFonts w:ascii="Calibri" w:hAnsi="Calibri"/>
          <w:b w:val="0"/>
          <w:i w:val="0"/>
          <w:color w:val="2C3E50"/>
          <w:sz w:val="20"/>
        </w:rPr>
        <w:t xml:space="preserve">Built via </w:t>
      </w:r>
      <w:r>
        <w:rPr>
          <w:rFonts w:ascii="Consolas" w:hAnsi="Consolas"/>
          <w:color w:val="B42828"/>
          <w:sz w:val="19"/>
        </w:rPr>
        <w:t>Dockerfile</w:t>
      </w:r>
      <w:r>
        <w:rPr>
          <w:rFonts w:ascii="Calibri" w:hAnsi="Calibri"/>
          <w:b w:val="0"/>
          <w:i w:val="0"/>
          <w:color w:val="2C3E50"/>
          <w:sz w:val="20"/>
        </w:rPr>
        <w:t xml:space="preserve"> with multi-stage layer caching and health check:</w:t>
      </w:r>
    </w:p>
    <w:p>
      <w:pPr>
        <w:spacing w:before="40" w:after="100" w:line="270" w:lineRule="exact"/>
      </w:pPr>
      <w:r>
        <w:rPr>
          <w:rFonts w:ascii="Consolas" w:hAnsi="Consolas"/>
          <w:color w:val="B42828"/>
          <w:sz w:val="19"/>
        </w:rPr>
        <w:t>HEALTHCHECK CMD python -c "import requests; r=requests.get('http://localhost:8000/health'); exit(0 if r.ok else 1)"</w:t>
      </w:r>
    </w:p>
    <w:p>
      <w:pPr>
        <w:pStyle w:val="ListBullet"/>
        <w:spacing w:before="20" w:after="40" w:line="260" w:lineRule="exact"/>
      </w:pPr>
      <w:r>
        <w:rPr>
          <w:rFonts w:ascii="Calibri" w:hAnsi="Calibri"/>
          <w:b w:val="0"/>
          <w:i w:val="0"/>
          <w:color w:val="2C3E50"/>
          <w:sz w:val="20"/>
        </w:rPr>
        <w:t xml:space="preserve">Orchestrated via </w:t>
      </w:r>
      <w:r>
        <w:rPr>
          <w:rFonts w:ascii="Consolas" w:hAnsi="Consolas"/>
          <w:color w:val="B42828"/>
          <w:sz w:val="19"/>
        </w:rPr>
        <w:t>docker-compose.yml</w:t>
      </w:r>
      <w:r>
        <w:rPr>
          <w:rFonts w:ascii="Calibri" w:hAnsi="Calibri"/>
          <w:b w:val="0"/>
          <w:i w:val="0"/>
          <w:color w:val="2C3E50"/>
          <w:sz w:val="20"/>
        </w:rPr>
        <w:t>.</w:t>
      </w:r>
    </w:p>
    <w:p>
      <w:pPr>
        <w:spacing w:before="120" w:after="120"/>
      </w:pPr>
      <w:r>
        <w:rPr>
          <w:color w:val="D2D7DC"/>
          <w:sz w:val="16"/>
        </w:rPr>
        <w:t>―――――――――――――――――――――――――――――――――――――――――――――</w:t>
      </w:r>
    </w:p>
    <w:p>
      <w:pPr>
        <w:keepNext/>
        <w:spacing w:before="280" w:after="80"/>
      </w:pPr>
      <w:r>
        <w:rPr>
          <w:rFonts w:ascii="Calibri" w:hAnsi="Calibri"/>
          <w:b/>
          <w:color w:val="0F4C81"/>
          <w:sz w:val="28"/>
        </w:rPr>
        <w:t>9. EMPIRICAL VERIFICATION &amp; BENCHMARK VALIDATION</w:t>
      </w:r>
    </w:p>
    <w:p>
      <w:pPr>
        <w:spacing w:before="40" w:after="100" w:line="270" w:lineRule="exact"/>
      </w:pPr>
      <w:r>
        <w:rPr>
          <w:rFonts w:ascii="Calibri" w:hAnsi="Calibri"/>
          <w:b w:val="0"/>
          <w:i w:val="0"/>
          <w:color w:val="2C3E50"/>
          <w:sz w:val="20"/>
        </w:rPr>
        <w:t xml:space="preserve">The system was validated across </w:t>
      </w:r>
      <w:r>
        <w:rPr>
          <w:rFonts w:ascii="Calibri" w:hAnsi="Calibri"/>
          <w:b/>
          <w:i w:val="0"/>
          <w:color w:val="2C3E50"/>
          <w:sz w:val="20"/>
        </w:rPr>
        <w:t>8 benchmark patches</w:t>
      </w:r>
      <w:r>
        <w:rPr>
          <w:rFonts w:ascii="Calibri" w:hAnsi="Calibri"/>
          <w:b w:val="0"/>
          <w:i w:val="0"/>
          <w:color w:val="2C3E50"/>
          <w:sz w:val="20"/>
        </w:rPr>
        <w:t xml:space="preserve"> covering four distinct remote-sensing biomes:</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60" w:type="dxa"/>
              <w:right w:w="160" w:type="dxa"/>
            </w:tcMar>
            <w:tcBorders>
              <w:top w:val="single" w:sz="4" w:space="0" w:color="D0D7DE"/>
              <w:left w:val="single" w:sz="4" w:space="0" w:color="D0D7DE"/>
              <w:bottom w:val="single" w:sz="4" w:space="0" w:color="D0D7DE"/>
              <w:right w:val="single" w:sz="4" w:space="0" w:color="D0D7DE"/>
            </w:tcBorders>
          </w:tcPr>
          <w:p>
            <w:pPr>
              <w:spacing w:before="40" w:after="40" w:line="240" w:lineRule="exact"/>
            </w:pPr>
            <w:r>
              <w:rPr>
                <w:rFonts w:ascii="Consolas" w:hAnsi="Consolas"/>
                <w:color w:val="212529"/>
                <w:sz w:val="17"/>
              </w:rPr>
              <w:t>Multi-Biome Verification Matrix:</w:t>
              <w:br/>
              <w:t>├── Dense Urban (Versailles, France — sample_5): SSIM 0.831 | PSNR 32.41 dB</w:t>
              <w:br/>
              <w:t>├── Agricultural Cropland (Bordeaux, France — sample_6): SSIM 0.814 | PSNR 31.85 dB</w:t>
              <w:br/>
              <w:t>├── Coastal / Hydrological (Gironde, France — sample_7): SSIM 0.684 | PSNR 28.92 dB</w:t>
              <w:br/>
              <w:t>└── Tropical Rainforest Canopy (Manaus, Brazil — sample_0 to 4): SSIM 0.905 | PSNR 37.62 dB</w:t>
            </w:r>
          </w:p>
        </w:tc>
      </w:tr>
    </w:tbl>
    <w:p>
      <w:pPr>
        <w:spacing w:before="0" w:after="80"/>
      </w:pPr>
    </w:p>
    <w:p>
      <w:pPr>
        <w:keepNext/>
        <w:spacing w:before="200" w:after="40"/>
      </w:pPr>
      <w:r>
        <w:rPr>
          <w:rFonts w:ascii="Calibri" w:hAnsi="Calibri"/>
          <w:b/>
          <w:color w:val="2980B9"/>
          <w:sz w:val="23"/>
        </w:rPr>
        <w:t>Comparative SOTA Summary:</w:t>
      </w:r>
    </w:p>
    <w:p>
      <w:pPr>
        <w:pStyle w:val="ListBullet"/>
        <w:spacing w:before="20" w:after="40" w:line="260" w:lineRule="exact"/>
      </w:pPr>
      <w:r>
        <w:rPr>
          <w:rFonts w:ascii="Calibri" w:hAnsi="Calibri"/>
          <w:b/>
          <w:i w:val="0"/>
          <w:color w:val="2C3E50"/>
          <w:sz w:val="20"/>
        </w:rPr>
        <w:t>`Sentinel2SRNet` (Ours)</w:t>
      </w:r>
      <w:r>
        <w:rPr>
          <w:rFonts w:ascii="Calibri" w:hAnsi="Calibri"/>
          <w:b w:val="0"/>
          <w:i w:val="0"/>
          <w:color w:val="2C3E50"/>
          <w:sz w:val="20"/>
        </w:rPr>
        <w:t xml:space="preserve"> achieves </w:t>
      </w:r>
      <w:r>
        <w:rPr>
          <w:rFonts w:ascii="Calibri" w:hAnsi="Calibri"/>
          <w:b/>
          <w:i w:val="0"/>
          <w:color w:val="2C3E50"/>
          <w:sz w:val="20"/>
        </w:rPr>
        <w:t>36.95 dB PSNR</w:t>
      </w:r>
      <w:r>
        <w:rPr>
          <w:rFonts w:ascii="Calibri" w:hAnsi="Calibri"/>
          <w:b w:val="0"/>
          <w:i w:val="0"/>
          <w:color w:val="2C3E50"/>
          <w:sz w:val="20"/>
        </w:rPr>
        <w:t xml:space="preserve"> and </w:t>
      </w:r>
      <w:r>
        <w:rPr>
          <w:rFonts w:ascii="Calibri" w:hAnsi="Calibri"/>
          <w:b/>
          <w:i w:val="0"/>
          <w:color w:val="2C3E50"/>
          <w:sz w:val="20"/>
        </w:rPr>
        <w:t>0.903 SSIM</w:t>
      </w:r>
      <w:r>
        <w:rPr>
          <w:rFonts w:ascii="Calibri" w:hAnsi="Calibri"/>
          <w:b w:val="0"/>
          <w:i w:val="0"/>
          <w:color w:val="2C3E50"/>
          <w:sz w:val="20"/>
        </w:rPr>
        <w:t xml:space="preserve"> at </w:t>
      </w:r>
      <w:r>
        <w:rPr>
          <w:rFonts w:ascii="Calibri" w:hAnsi="Calibri"/>
          <w:b/>
          <w:i w:val="0"/>
          <w:color w:val="2C3E50"/>
          <w:sz w:val="20"/>
        </w:rPr>
        <w:t>38.3 ms latency</w:t>
      </w:r>
      <w:r>
        <w:rPr>
          <w:rFonts w:ascii="Calibri" w:hAnsi="Calibri"/>
          <w:b w:val="0"/>
          <w:i w:val="0"/>
          <w:color w:val="2C3E50"/>
          <w:sz w:val="20"/>
        </w:rPr>
        <w:t xml:space="preserve"> with only </w:t>
      </w:r>
      <w:r>
        <w:rPr>
          <w:rFonts w:ascii="Calibri" w:hAnsi="Calibri"/>
          <w:b/>
          <w:i w:val="0"/>
          <w:color w:val="2C3E50"/>
          <w:sz w:val="20"/>
        </w:rPr>
        <w:t>193k parameters</w:t>
      </w:r>
      <w:r>
        <w:rPr>
          <w:rFonts w:ascii="Calibri" w:hAnsi="Calibri"/>
          <w:b w:val="0"/>
          <w:i w:val="0"/>
          <w:color w:val="2C3E50"/>
          <w:sz w:val="20"/>
        </w:rPr>
        <w:t>.</w:t>
      </w:r>
    </w:p>
    <w:p>
      <w:pPr>
        <w:pStyle w:val="ListBullet"/>
        <w:spacing w:before="20" w:after="40" w:line="260" w:lineRule="exact"/>
      </w:pPr>
      <w:r>
        <w:rPr>
          <w:rFonts w:ascii="Calibri" w:hAnsi="Calibri"/>
          <w:b w:val="0"/>
          <w:i w:val="0"/>
          <w:color w:val="2C3E50"/>
          <w:sz w:val="20"/>
        </w:rPr>
        <w:t>Outperforms Bicubic baseline (+1.13 dB PSNR, +26.1% Sobel edge acuity).</w:t>
      </w:r>
    </w:p>
    <w:p>
      <w:pPr>
        <w:pStyle w:val="ListBullet"/>
        <w:spacing w:before="20" w:after="40" w:line="260" w:lineRule="exact"/>
      </w:pPr>
      <w:r>
        <w:rPr>
          <w:rFonts w:ascii="Calibri" w:hAnsi="Calibri"/>
          <w:b w:val="0"/>
          <w:i w:val="0"/>
          <w:color w:val="2C3E50"/>
          <w:sz w:val="20"/>
        </w:rPr>
        <w:t xml:space="preserve">Delivers 98.2% of EDSR accuracy while running </w:t>
      </w:r>
      <w:r>
        <w:rPr>
          <w:rFonts w:ascii="Calibri" w:hAnsi="Calibri"/>
          <w:b/>
          <w:i w:val="0"/>
          <w:color w:val="2C3E50"/>
          <w:sz w:val="20"/>
        </w:rPr>
        <w:t>87× faster</w:t>
      </w:r>
      <w:r>
        <w:rPr>
          <w:rFonts w:ascii="Calibri" w:hAnsi="Calibri"/>
          <w:b w:val="0"/>
          <w:i w:val="0"/>
          <w:color w:val="2C3E50"/>
          <w:sz w:val="20"/>
        </w:rPr>
        <w:t xml:space="preserve"> on CPU with a </w:t>
      </w:r>
      <w:r>
        <w:rPr>
          <w:rFonts w:ascii="Calibri" w:hAnsi="Calibri"/>
          <w:b/>
          <w:i w:val="0"/>
          <w:color w:val="2C3E50"/>
          <w:sz w:val="20"/>
        </w:rPr>
        <w:t>50× smaller memory footprint</w:t>
      </w:r>
      <w:r>
        <w:rPr>
          <w:rFonts w:ascii="Calibri" w:hAnsi="Calibri"/>
          <w:b w:val="0"/>
          <w:i w:val="0"/>
          <w:color w:val="2C3E50"/>
          <w:sz w:val="20"/>
        </w:rPr>
        <w:t xml:space="preserve"> (765.5 KB vs. 38.5 MB).</w:t>
      </w:r>
    </w:p>
    <w:p>
      <w:pPr>
        <w:spacing w:before="120" w:after="120"/>
      </w:pPr>
      <w:r>
        <w:rPr>
          <w:color w:val="D2D7DC"/>
          <w:sz w:val="16"/>
        </w:rPr>
        <w:t>―――――――――――――――――――――――――――――――――――――――――――――</w:t>
      </w:r>
    </w:p>
    <w:p>
      <w:pPr>
        <w:keepNext/>
        <w:spacing w:before="280" w:after="80"/>
      </w:pPr>
      <w:r>
        <w:rPr>
          <w:rFonts w:ascii="Calibri" w:hAnsi="Calibri"/>
          <w:b/>
          <w:color w:val="0F4C81"/>
          <w:sz w:val="28"/>
        </w:rPr>
        <w:t>10. SUMMARY &amp; CONCLUSION</w:t>
      </w:r>
    </w:p>
    <w:p>
      <w:pPr>
        <w:spacing w:before="40" w:after="100" w:line="270" w:lineRule="exact"/>
      </w:pPr>
      <w:r>
        <w:rPr>
          <w:rFonts w:ascii="Calibri" w:hAnsi="Calibri"/>
          <w:b w:val="0"/>
          <w:i w:val="0"/>
          <w:color w:val="2C3E50"/>
          <w:sz w:val="20"/>
        </w:rPr>
        <w:t>The Sentinel-2 Super-Resolution Studio demonstrates that physics-informed, deterministic Deep Learning can successfully transcend physical satellite sensor limits at zero hardware cost. By combining compact residual sub-pixel convolutions, locked-chroma color fidelity, zero-mean spatial projections, and 8-way geometric self-ensembling, the system delivers high-assurance, reproducible, real-time super-resolution for environmental monitoring, agriculture, and defense intelligence.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7"/>
      </w:rPr>
      <w:t>Formal Engineering SAD Document • Sentinel2SRNet Deep Learning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System Analysis &amp; Design (SAD) Specification | Sentinel-2 Super-Resolution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