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4C81"/>
          <w:sz w:val="48"/>
        </w:rPr>
        <w:t>MASTER PROJECT DOCUMENTATION</w:t>
      </w:r>
    </w:p>
    <w:p>
      <w:pPr>
        <w:spacing w:before="0" w:after="280"/>
      </w:pPr>
      <w:r>
        <w:rPr>
          <w:rFonts w:ascii="Calibri" w:hAnsi="Calibri"/>
          <w:i/>
          <w:color w:val="7F8C8D"/>
          <w:sz w:val="22"/>
        </w:rPr>
        <w:t>AI-Powered Super-Resolution Mapping on Sentinel-2 Satellite Imagery</w:t>
        <w:br/>
        <w:t>From 10m Ground Resolution to 5m / 2.5m Sub-4m Precision: End-to-End Scientific &amp; Engineering Report</w:t>
      </w:r>
    </w:p>
    <w:tbl>
      <w:tblPr>
        <w:tblW w:type="auto" w:w="0"/>
        <w:jc w:val="center"/>
        <w:tblLook w:firstColumn="1" w:firstRow="1" w:lastColumn="0" w:lastRow="0" w:noHBand="0" w:noVBand="1" w:val="04A0"/>
      </w:tblPr>
      <w:tblGrid>
        <w:gridCol w:w="10080"/>
      </w:tblGrid>
      <w:tr>
        <w:tc>
          <w:tcPr>
            <w:tcW w:type="dxa" w:w="10080"/>
            <w:shd w:val="clear" w:color="auto" w:fill="EBF5FB"/>
            <w:tcMar>
              <w:top w:w="120" w:type="dxa"/>
              <w:bottom w:w="120" w:type="dxa"/>
              <w:left w:w="160" w:type="dxa"/>
              <w:right w:w="160" w:type="dxa"/>
            </w:tcMar>
          </w:tcPr>
          <w:p>
            <w:pPr>
              <w:spacing w:before="0" w:after="0"/>
            </w:pPr>
            <w:r>
              <w:rPr>
                <w:b/>
                <w:color w:val="0F4C81"/>
                <w:sz w:val="20"/>
              </w:rPr>
              <w:t>PROJECT METRIC SUMMARY &amp; HIGHLIGHTS:</w:t>
              <w:br/>
            </w:r>
            <w:r>
              <w:rPr>
                <w:color w:val="2C3E50"/>
                <w:sz w:val="19"/>
              </w:rPr>
              <w:t>• Core Custom Model: Sentinel2SRNet (PyTorch 2.0+ Deep Residual Sub-Pixel Network)</w:t>
              <w:br/>
              <w:t>• Model Footprint: 193,601 Trainable Parameters | 765.5 KB Disk Size (checkpoints/sr_sentinel2_2x.pt)</w:t>
              <w:br/>
              <w:t>• Receptive Field: 23 x 23 pixels in 10m space = 230m x 230m Ground Footprint</w:t>
              <w:br/>
              <w:t>• Edge Sharpness Gain: +3.41 Sobel Energy Gain (matches the +3.51 of 43M-param EDSR at 70x faster speed)</w:t>
              <w:br/>
              <w:t>• Latency: ~38.3 ms per 256x256 patch on standard CPU (Enables live interactive Web GIS panning)</w:t>
              <w:br/>
              <w:t>• Ground Resolution Progression: 10m Sentinel-2 -&gt; 5m Native (4x density) -&gt; 2.5m Cascaded (16x density, Sub-4m)</w:t>
              <w:br/>
              <w:t>• Radiometric Invariance: Built-in Zero-Mean Spatial Residual Projection (0.00 color drift for NDVI/NDWI)</w:t>
              <w:br/>
              <w:t>• Uncertainty Quantification: 8-Way Geometric Self-Ensemble (TTA) Variance Heatmap</w:t>
              <w:br/>
              <w:t>• Training Dataset: SEN2VENµS Paired Earth Observation Benchmark (CNES / ESA, 129 multi-temporal patches)</w:t>
            </w:r>
          </w:p>
        </w:tc>
      </w:tr>
    </w:tbl>
    <w:p>
      <w:pPr>
        <w:spacing w:before="200" w:after="160"/>
        <w:jc w:val="center"/>
      </w:pPr>
      <w:r>
        <w:drawing>
          <wp:inline xmlns:a="http://schemas.openxmlformats.org/drawingml/2006/main" xmlns:pic="http://schemas.openxmlformats.org/drawingml/2006/picture">
            <wp:extent cx="6217920" cy="3438962"/>
            <wp:docPr id="1" name="Picture 1"/>
            <wp:cNvGraphicFramePr>
              <a:graphicFrameLocks noChangeAspect="1"/>
            </wp:cNvGraphicFramePr>
            <a:graphic>
              <a:graphicData uri="http://schemas.openxmlformats.org/drawingml/2006/picture">
                <pic:pic>
                  <pic:nvPicPr>
                    <pic:cNvPr id="0" name="technical_approach_poster.png"/>
                    <pic:cNvPicPr/>
                  </pic:nvPicPr>
                  <pic:blipFill>
                    <a:blip r:embed="rId9"/>
                    <a:stretch>
                      <a:fillRect/>
                    </a:stretch>
                  </pic:blipFill>
                  <pic:spPr>
                    <a:xfrm>
                      <a:off x="0" y="0"/>
                      <a:ext cx="6217920" cy="3438962"/>
                    </a:xfrm>
                    <a:prstGeom prst="rect"/>
                  </pic:spPr>
                </pic:pic>
              </a:graphicData>
            </a:graphic>
          </wp:inline>
        </w:drawing>
      </w:r>
    </w:p>
    <w:p>
      <w:pPr>
        <w:pStyle w:val="Heading1"/>
        <w:spacing w:before="320" w:after="120"/>
      </w:pPr>
      <w:r>
        <w:rPr>
          <w:color w:val="0F4C81"/>
        </w:rPr>
        <w:t>1. Executive Summary &amp; Problem Resolution</w:t>
      </w:r>
    </w:p>
    <w:p>
      <w:r>
        <w:rPr>
          <w:color w:val="2C3E50"/>
          <w:sz w:val="19"/>
        </w:rPr>
        <w:t>Medium-resolution satellite imagery (typically 10 to 30 meters Ground Sampling Distance) is widely utilized across remote sensing for land-cover mapping, agricultural monitoring, urban planning, and disaster assessment because it offers global geographic coverage and frequent revisit intervals (every 5 days for Copernicus Sentinel-2). However, this spatial detail is fundamentally insufficient for fine-scale analysis: narrow secondary roads, small residential building footprints, agricultural parcel furrows, and localized damage zones appear blurred and pixelated.</w:t>
        <w:br/>
        <w:br/>
        <w:t>Commercial very-high-resolution (VHR) satellites (such as WorldView or PlanetScope) offer sub-meter resolution but suffer from exorbitant licensing fees, proprietary restrictions, and limited revisit frequency. Furthermore, manufacturing and launching optical satellite constellations costs upwards of $100M – $300M per mission.</w:t>
        <w:br/>
        <w:br/>
        <w:t>OUR SOLUTION: An end-to-end Deep Learning system and interactive Web GIS Studio that ingests free, open-access 10m Sentinel-2 satellite imagery and super-resolves it to 5m resolution (a 4-fold increase in pixel density) and cascades up to 2.5m (16x pixel density, achieving sub-4m ground resolution). This delivers commercial-grade visual clarity at zero hardware cost while strictly preserving radiometric integrity.</w:t>
      </w:r>
    </w:p>
    <w:p>
      <w:pPr>
        <w:pStyle w:val="Heading1"/>
        <w:spacing w:before="320" w:after="120"/>
      </w:pPr>
      <w:r>
        <w:rPr>
          <w:color w:val="0F4C81"/>
        </w:rPr>
        <w:t>2. Datasets &amp; Remote Sensing Data Engineering</w:t>
      </w:r>
    </w:p>
    <w:p>
      <w:r>
        <w:rPr>
          <w:color w:val="2C3E50"/>
          <w:sz w:val="19"/>
        </w:rPr>
        <w:t>Super-resolution models in critical domains (defense, agriculture, land surveys) must avoid 'hallucinations'—the artificial invention of non-existent roads or buildings common in generative adversarial networks (GANs). To ensure cartographic truth, our model is trained exclusively on strictly paired Earth observation data from the SEN2VENµS benchmark (Michel et al., CNES / ESA, Zenodo Record 6514159):</w:t>
        <w:br/>
        <w:br/>
        <w:t>• Paired Data Physics: For every 10m Sentinel-2 patch, there is an authentic 5m ground-truth patch captured by the French/Israeli VENµS satellite over the exact same geographic bounding box on the same date.</w:t>
        <w:br/>
        <w:t>• Multi-Temporal Active Dataset: 129 paired patches from the FGMANAUS site (Amazon Basin) spanning 4 revisit dates: 2019-07-27 (38 pairs), 2019-12-04 (29 pairs), 2020-07-21 (2 pairs), and 2020-07-31 (60 pairs).</w:t>
        <w:br/>
        <w:t>• Data Normalization: Remote sensing reflectance values undergo 2% to 98% percentile dynamic range clipping, converting 16-bit raw integer data into normalized floating-point tensors in [0.0, 1.0].</w:t>
        <w:br/>
        <w:t>• Cross-Sensor Radiometric Alignment: VENµS and Sentinel-2 sensors have different solar elevation angles and spectral response functions. During training, the target is radiometrically standardized: Target_aligned = ((Target - mean(Target)) / (std(Target) + 1e-5)) * std(Base) + mean(Base). This forces the network to learn true spatial deblurring rather than sensor calibration shortcuts.</w:t>
      </w:r>
    </w:p>
    <w:p>
      <w:pPr>
        <w:pStyle w:val="Heading1"/>
        <w:spacing w:before="320" w:after="120"/>
      </w:pPr>
      <w:r>
        <w:rPr>
          <w:color w:val="0F4C81"/>
        </w:rPr>
        <w:t>3. Custom Model Architecture: Sentinel2SRNet</w:t>
      </w:r>
    </w:p>
    <w:p>
      <w:r>
        <w:rPr>
          <w:sz w:val="19"/>
        </w:rPr>
        <w:t>Sentinel2SRNet is an 11-convolutional-layer deep residual network operating in low-resolution latent space for maximum computational efficiency. The complete layer breakdown is summarized below:</w:t>
      </w:r>
    </w:p>
    <w:tbl>
      <w:tblPr>
        <w:tblW w:type="auto" w:w="0"/>
        <w:jc w:val="center"/>
        <w:tblLook w:firstColumn="1" w:firstRow="1" w:lastColumn="0" w:lastRow="0" w:noHBand="0" w:noVBand="1" w:val="04A0"/>
      </w:tblPr>
      <w:tblGrid>
        <w:gridCol w:w="2520"/>
        <w:gridCol w:w="2520"/>
        <w:gridCol w:w="2520"/>
        <w:gridCol w:w="2520"/>
      </w:tblGrid>
      <w:tr>
        <w:tc>
          <w:tcPr>
            <w:tcW w:type="dxa" w:w="2160"/>
            <w:vAlign w:val="center"/>
            <w:tcMar>
              <w:top w:w="110" w:type="dxa"/>
              <w:bottom w:w="110" w:type="dxa"/>
              <w:left w:w="140" w:type="dxa"/>
              <w:right w:w="140" w:type="dxa"/>
            </w:tcMar>
            <w:shd w:val="clear" w:color="auto" w:fill="0F4C81"/>
          </w:tcPr>
          <w:p>
            <w:pPr>
              <w:spacing w:before="40" w:after="40"/>
            </w:pPr>
            <w:r>
              <w:rPr>
                <w:b/>
                <w:color w:val="FFFFFF"/>
                <w:sz w:val="18"/>
              </w:rPr>
              <w:t>Stage</w:t>
            </w:r>
          </w:p>
        </w:tc>
        <w:tc>
          <w:tcPr>
            <w:tcW w:type="dxa" w:w="3312"/>
            <w:vAlign w:val="center"/>
            <w:tcMar>
              <w:top w:w="110" w:type="dxa"/>
              <w:bottom w:w="110" w:type="dxa"/>
              <w:left w:w="140" w:type="dxa"/>
              <w:right w:w="140" w:type="dxa"/>
            </w:tcMar>
            <w:shd w:val="clear" w:color="auto" w:fill="0F4C81"/>
          </w:tcPr>
          <w:p>
            <w:pPr>
              <w:spacing w:before="40" w:after="40"/>
            </w:pPr>
            <w:r>
              <w:rPr>
                <w:b/>
                <w:color w:val="FFFFFF"/>
                <w:sz w:val="18"/>
              </w:rPr>
              <w:t>Layer Structure</w:t>
            </w:r>
          </w:p>
        </w:tc>
        <w:tc>
          <w:tcPr>
            <w:tcW w:type="dxa" w:w="1728"/>
            <w:vAlign w:val="center"/>
            <w:tcMar>
              <w:top w:w="110" w:type="dxa"/>
              <w:bottom w:w="110" w:type="dxa"/>
              <w:left w:w="140" w:type="dxa"/>
              <w:right w:w="140" w:type="dxa"/>
            </w:tcMar>
            <w:shd w:val="clear" w:color="auto" w:fill="0F4C81"/>
          </w:tcPr>
          <w:p>
            <w:pPr>
              <w:spacing w:before="40" w:after="40"/>
            </w:pPr>
            <w:r>
              <w:rPr>
                <w:b/>
                <w:color w:val="FFFFFF"/>
                <w:sz w:val="18"/>
              </w:rPr>
              <w:t>Parameters</w:t>
            </w:r>
          </w:p>
        </w:tc>
        <w:tc>
          <w:tcPr>
            <w:tcW w:type="dxa" w:w="2880"/>
            <w:vAlign w:val="center"/>
            <w:tcMar>
              <w:top w:w="110" w:type="dxa"/>
              <w:bottom w:w="110" w:type="dxa"/>
              <w:left w:w="140" w:type="dxa"/>
              <w:right w:w="140" w:type="dxa"/>
            </w:tcMar>
            <w:shd w:val="clear" w:color="auto" w:fill="0F4C81"/>
          </w:tcPr>
          <w:p>
            <w:pPr>
              <w:spacing w:before="40" w:after="40"/>
            </w:pPr>
            <w:r>
              <w:rPr>
                <w:b/>
                <w:color w:val="FFFFFF"/>
                <w:sz w:val="18"/>
              </w:rPr>
              <w:t>Architectural Role</w:t>
            </w:r>
          </w:p>
        </w:tc>
      </w:tr>
      <w:tr>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Global Skip Branch</w:t>
            </w:r>
          </w:p>
        </w:tc>
        <w:tc>
          <w:tcPr>
            <w:tcW w:type="dxa" w:w="3312"/>
            <w:vAlign w:val="center"/>
            <w:tcMar>
              <w:top w:w="110" w:type="dxa"/>
              <w:bottom w:w="110" w:type="dxa"/>
              <w:left w:w="140" w:type="dxa"/>
              <w:right w:w="140" w:type="dxa"/>
            </w:tcMar>
            <w:shd w:val="clear" w:color="auto" w:fill="FFFFFF"/>
          </w:tcPr>
          <w:p>
            <w:pPr>
              <w:spacing w:before="40" w:after="40"/>
            </w:pPr>
            <w:r>
              <w:rPr>
                <w:color w:val="2C3E50"/>
                <w:sz w:val="18"/>
              </w:rPr>
              <w:t>F.interpolate(x, scale=2, mode='bicubic')</w:t>
            </w:r>
          </w:p>
        </w:tc>
        <w:tc>
          <w:tcPr>
            <w:tcW w:type="dxa" w:w="1728"/>
            <w:vAlign w:val="center"/>
            <w:tcMar>
              <w:top w:w="110" w:type="dxa"/>
              <w:bottom w:w="110" w:type="dxa"/>
              <w:left w:w="140" w:type="dxa"/>
              <w:right w:w="140" w:type="dxa"/>
            </w:tcMar>
            <w:shd w:val="clear" w:color="auto" w:fill="FFFFFF"/>
          </w:tcPr>
          <w:p>
            <w:pPr>
              <w:spacing w:before="40" w:after="40"/>
            </w:pPr>
            <w:r>
              <w:rPr>
                <w:color w:val="2C3E50"/>
                <w:sz w:val="18"/>
              </w:rPr>
              <w:t>0 params</w:t>
            </w:r>
          </w:p>
        </w:tc>
        <w:tc>
          <w:tcPr>
            <w:tcW w:type="dxa" w:w="2880"/>
            <w:vAlign w:val="center"/>
            <w:tcMar>
              <w:top w:w="110" w:type="dxa"/>
              <w:bottom w:w="110" w:type="dxa"/>
              <w:left w:w="140" w:type="dxa"/>
              <w:right w:w="140" w:type="dxa"/>
            </w:tcMar>
            <w:shd w:val="clear" w:color="auto" w:fill="FFFFFF"/>
          </w:tcPr>
          <w:p>
            <w:pPr>
              <w:spacing w:before="40" w:after="40"/>
            </w:pPr>
            <w:r>
              <w:rPr>
                <w:color w:val="2C3E50"/>
                <w:sz w:val="18"/>
              </w:rPr>
              <w:t>Bypasses low-frequency macro illumination (&gt;95% image energy), freeing deep layers.</w:t>
            </w:r>
          </w:p>
        </w:tc>
      </w:tr>
      <w:tr>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Feature Head</w:t>
            </w:r>
          </w:p>
        </w:tc>
        <w:tc>
          <w:tcPr>
            <w:tcW w:type="dxa" w:w="3312"/>
            <w:vAlign w:val="center"/>
            <w:tcMar>
              <w:top w:w="110" w:type="dxa"/>
              <w:bottom w:w="110" w:type="dxa"/>
              <w:left w:w="140" w:type="dxa"/>
              <w:right w:w="140" w:type="dxa"/>
            </w:tcMar>
            <w:shd w:val="clear" w:color="auto" w:fill="F4F7F9"/>
          </w:tcPr>
          <w:p>
            <w:pPr>
              <w:spacing w:before="40" w:after="40"/>
            </w:pPr>
            <w:r>
              <w:rPr>
                <w:color w:val="2C3E50"/>
                <w:sz w:val="18"/>
              </w:rPr>
              <w:t>Conv2d(3 -&gt; 48, 3x3) + PReLU()</w:t>
            </w:r>
          </w:p>
        </w:tc>
        <w:tc>
          <w:tcPr>
            <w:tcW w:type="dxa" w:w="1728"/>
            <w:vAlign w:val="center"/>
            <w:tcMar>
              <w:top w:w="110" w:type="dxa"/>
              <w:bottom w:w="110" w:type="dxa"/>
              <w:left w:w="140" w:type="dxa"/>
              <w:right w:w="140" w:type="dxa"/>
            </w:tcMar>
            <w:shd w:val="clear" w:color="auto" w:fill="F4F7F9"/>
          </w:tcPr>
          <w:p>
            <w:pPr>
              <w:spacing w:before="40" w:after="40"/>
            </w:pPr>
            <w:r>
              <w:rPr>
                <w:color w:val="2C3E50"/>
                <w:sz w:val="18"/>
              </w:rPr>
              <w:t>1,345 params</w:t>
            </w:r>
          </w:p>
        </w:tc>
        <w:tc>
          <w:tcPr>
            <w:tcW w:type="dxa" w:w="2880"/>
            <w:vAlign w:val="center"/>
            <w:tcMar>
              <w:top w:w="110" w:type="dxa"/>
              <w:bottom w:w="110" w:type="dxa"/>
              <w:left w:w="140" w:type="dxa"/>
              <w:right w:w="140" w:type="dxa"/>
            </w:tcMar>
            <w:shd w:val="clear" w:color="auto" w:fill="F4F7F9"/>
          </w:tcPr>
          <w:p>
            <w:pPr>
              <w:spacing w:before="40" w:after="40"/>
            </w:pPr>
            <w:r>
              <w:rPr>
                <w:color w:val="2C3E50"/>
                <w:sz w:val="18"/>
              </w:rPr>
              <w:t>Extracts 48-channel latent spatial feature maps; PReLU preserves gradients in dark water/shadow pixels.</w:t>
            </w:r>
          </w:p>
        </w:tc>
      </w:tr>
      <w:tr>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Residual Body</w:t>
            </w:r>
          </w:p>
        </w:tc>
        <w:tc>
          <w:tcPr>
            <w:tcW w:type="dxa" w:w="3312"/>
            <w:vAlign w:val="center"/>
            <w:tcMar>
              <w:top w:w="110" w:type="dxa"/>
              <w:bottom w:w="110" w:type="dxa"/>
              <w:left w:w="140" w:type="dxa"/>
              <w:right w:w="140" w:type="dxa"/>
            </w:tcMar>
            <w:shd w:val="clear" w:color="auto" w:fill="FFFFFF"/>
          </w:tcPr>
          <w:p>
            <w:pPr>
              <w:spacing w:before="40" w:after="40"/>
            </w:pPr>
            <w:r>
              <w:rPr>
                <w:color w:val="2C3E50"/>
                <w:sz w:val="18"/>
              </w:rPr>
              <w:t>4 Cascaded Residual Blocks (Conv-PReLU-Conv + Skip)</w:t>
            </w:r>
          </w:p>
        </w:tc>
        <w:tc>
          <w:tcPr>
            <w:tcW w:type="dxa" w:w="1728"/>
            <w:vAlign w:val="center"/>
            <w:tcMar>
              <w:top w:w="110" w:type="dxa"/>
              <w:bottom w:w="110" w:type="dxa"/>
              <w:left w:w="140" w:type="dxa"/>
              <w:right w:w="140" w:type="dxa"/>
            </w:tcMar>
            <w:shd w:val="clear" w:color="auto" w:fill="FFFFFF"/>
          </w:tcPr>
          <w:p>
            <w:pPr>
              <w:spacing w:before="40" w:after="40"/>
            </w:pPr>
            <w:r>
              <w:rPr>
                <w:color w:val="2C3E50"/>
                <w:sz w:val="18"/>
              </w:rPr>
              <w:t>166,276 params</w:t>
            </w:r>
          </w:p>
        </w:tc>
        <w:tc>
          <w:tcPr>
            <w:tcW w:type="dxa" w:w="2880"/>
            <w:vAlign w:val="center"/>
            <w:tcMar>
              <w:top w:w="110" w:type="dxa"/>
              <w:bottom w:w="110" w:type="dxa"/>
              <w:left w:w="140" w:type="dxa"/>
              <w:right w:w="140" w:type="dxa"/>
            </w:tcMar>
            <w:shd w:val="clear" w:color="auto" w:fill="FFFFFF"/>
          </w:tcPr>
          <w:p>
            <w:pPr>
              <w:spacing w:before="40" w:after="40"/>
            </w:pPr>
            <w:r>
              <w:rPr>
                <w:color w:val="2C3E50"/>
                <w:sz w:val="18"/>
              </w:rPr>
              <w:t>Deep residual learning; expands receptive field to 23x23 px (230m x 230m on Earth).</w:t>
            </w:r>
          </w:p>
        </w:tc>
      </w:tr>
      <w:tr>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Feature Fusion</w:t>
            </w:r>
          </w:p>
        </w:tc>
        <w:tc>
          <w:tcPr>
            <w:tcW w:type="dxa" w:w="3312"/>
            <w:vAlign w:val="center"/>
            <w:tcMar>
              <w:top w:w="110" w:type="dxa"/>
              <w:bottom w:w="110" w:type="dxa"/>
              <w:left w:w="140" w:type="dxa"/>
              <w:right w:w="140" w:type="dxa"/>
            </w:tcMar>
            <w:shd w:val="clear" w:color="auto" w:fill="F4F7F9"/>
          </w:tcPr>
          <w:p>
            <w:pPr>
              <w:spacing w:before="40" w:after="40"/>
            </w:pPr>
            <w:r>
              <w:rPr>
                <w:color w:val="2C3E50"/>
                <w:sz w:val="18"/>
              </w:rPr>
              <w:t>Conv2d(48 -&gt; 48, 3x3) + Long Residual Skip</w:t>
            </w:r>
          </w:p>
        </w:tc>
        <w:tc>
          <w:tcPr>
            <w:tcW w:type="dxa" w:w="1728"/>
            <w:vAlign w:val="center"/>
            <w:tcMar>
              <w:top w:w="110" w:type="dxa"/>
              <w:bottom w:w="110" w:type="dxa"/>
              <w:left w:w="140" w:type="dxa"/>
              <w:right w:w="140" w:type="dxa"/>
            </w:tcMar>
            <w:shd w:val="clear" w:color="auto" w:fill="F4F7F9"/>
          </w:tcPr>
          <w:p>
            <w:pPr>
              <w:spacing w:before="40" w:after="40"/>
            </w:pPr>
            <w:r>
              <w:rPr>
                <w:color w:val="2C3E50"/>
                <w:sz w:val="18"/>
              </w:rPr>
              <w:t>20,784 params</w:t>
            </w:r>
          </w:p>
        </w:tc>
        <w:tc>
          <w:tcPr>
            <w:tcW w:type="dxa" w:w="2880"/>
            <w:vAlign w:val="center"/>
            <w:tcMar>
              <w:top w:w="110" w:type="dxa"/>
              <w:bottom w:w="110" w:type="dxa"/>
              <w:left w:w="140" w:type="dxa"/>
              <w:right w:w="140" w:type="dxa"/>
            </w:tcMar>
            <w:shd w:val="clear" w:color="auto" w:fill="F4F7F9"/>
          </w:tcPr>
          <w:p>
            <w:pPr>
              <w:spacing w:before="40" w:after="40"/>
            </w:pPr>
            <w:r>
              <w:rPr>
                <w:color w:val="2C3E50"/>
                <w:sz w:val="18"/>
              </w:rPr>
              <w:t>Fuses shallow geometric edges with deep semantic context before upsampling.</w:t>
            </w:r>
          </w:p>
        </w:tc>
      </w:tr>
      <w:tr>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Sub-Pixel Tail</w:t>
            </w:r>
          </w:p>
        </w:tc>
        <w:tc>
          <w:tcPr>
            <w:tcW w:type="dxa" w:w="3312"/>
            <w:vAlign w:val="center"/>
            <w:tcMar>
              <w:top w:w="110" w:type="dxa"/>
              <w:bottom w:w="110" w:type="dxa"/>
              <w:left w:w="140" w:type="dxa"/>
              <w:right w:w="140" w:type="dxa"/>
            </w:tcMar>
            <w:shd w:val="clear" w:color="auto" w:fill="FFFFFF"/>
          </w:tcPr>
          <w:p>
            <w:pPr>
              <w:spacing w:before="40" w:after="40"/>
            </w:pPr>
            <w:r>
              <w:rPr>
                <w:color w:val="2C3E50"/>
                <w:sz w:val="18"/>
              </w:rPr>
              <w:t>Conv2d(48 -&gt; 12, 3x3) + nn.PixelShuffle(2)</w:t>
            </w:r>
          </w:p>
        </w:tc>
        <w:tc>
          <w:tcPr>
            <w:tcW w:type="dxa" w:w="1728"/>
            <w:vAlign w:val="center"/>
            <w:tcMar>
              <w:top w:w="110" w:type="dxa"/>
              <w:bottom w:w="110" w:type="dxa"/>
              <w:left w:w="140" w:type="dxa"/>
              <w:right w:w="140" w:type="dxa"/>
            </w:tcMar>
            <w:shd w:val="clear" w:color="auto" w:fill="FFFFFF"/>
          </w:tcPr>
          <w:p>
            <w:pPr>
              <w:spacing w:before="40" w:after="40"/>
            </w:pPr>
            <w:r>
              <w:rPr>
                <w:color w:val="2C3E50"/>
                <w:sz w:val="18"/>
              </w:rPr>
              <w:t>5,196 params</w:t>
            </w:r>
          </w:p>
        </w:tc>
        <w:tc>
          <w:tcPr>
            <w:tcW w:type="dxa" w:w="2880"/>
            <w:vAlign w:val="center"/>
            <w:tcMar>
              <w:top w:w="110" w:type="dxa"/>
              <w:bottom w:w="110" w:type="dxa"/>
              <w:left w:w="140" w:type="dxa"/>
              <w:right w:w="140" w:type="dxa"/>
            </w:tcMar>
            <w:shd w:val="clear" w:color="auto" w:fill="FFFFFF"/>
          </w:tcPr>
          <w:p>
            <w:pPr>
              <w:spacing w:before="40" w:after="40"/>
            </w:pPr>
            <w:r>
              <w:rPr>
                <w:color w:val="2C3E50"/>
                <w:sz w:val="18"/>
              </w:rPr>
              <w:t>Reassembles latent channels into 3 RGB channels at 2x scale (0 checkerboard artifacts).</w:t>
            </w:r>
          </w:p>
        </w:tc>
      </w:tr>
      <w:tr>
        <w:tc>
          <w:tcPr>
            <w:tcW w:type="dxa" w:w="2160"/>
            <w:vAlign w:val="center"/>
            <w:tcMar>
              <w:top w:w="110" w:type="dxa"/>
              <w:bottom w:w="110" w:type="dxa"/>
              <w:left w:w="140" w:type="dxa"/>
              <w:right w:w="140" w:type="dxa"/>
            </w:tcMar>
            <w:shd w:val="clear" w:color="auto" w:fill="F4F7F9"/>
          </w:tcPr>
          <w:p>
            <w:pPr>
              <w:spacing w:before="40" w:after="40"/>
            </w:pPr>
            <w:r>
              <w:rPr>
                <w:color w:val="2C3E50"/>
                <w:sz w:val="18"/>
              </w:rPr>
              <w:t>Radiometric Lock</w:t>
            </w:r>
          </w:p>
        </w:tc>
        <w:tc>
          <w:tcPr>
            <w:tcW w:type="dxa" w:w="3312"/>
            <w:vAlign w:val="center"/>
            <w:tcMar>
              <w:top w:w="110" w:type="dxa"/>
              <w:bottom w:w="110" w:type="dxa"/>
              <w:left w:w="140" w:type="dxa"/>
              <w:right w:w="140" w:type="dxa"/>
            </w:tcMar>
            <w:shd w:val="clear" w:color="auto" w:fill="F4F7F9"/>
          </w:tcPr>
          <w:p>
            <w:pPr>
              <w:spacing w:before="40" w:after="40"/>
            </w:pPr>
            <w:r>
              <w:rPr>
                <w:color w:val="2C3E50"/>
                <w:sz w:val="18"/>
              </w:rPr>
              <w:t>res = res - res.mean(dim=(-2, -1), keepdim=True)</w:t>
            </w:r>
          </w:p>
        </w:tc>
        <w:tc>
          <w:tcPr>
            <w:tcW w:type="dxa" w:w="1728"/>
            <w:vAlign w:val="center"/>
            <w:tcMar>
              <w:top w:w="110" w:type="dxa"/>
              <w:bottom w:w="110" w:type="dxa"/>
              <w:left w:w="140" w:type="dxa"/>
              <w:right w:w="140" w:type="dxa"/>
            </w:tcMar>
            <w:shd w:val="clear" w:color="auto" w:fill="F4F7F9"/>
          </w:tcPr>
          <w:p>
            <w:pPr>
              <w:spacing w:before="40" w:after="40"/>
            </w:pPr>
            <w:r>
              <w:rPr>
                <w:color w:val="2C3E50"/>
                <w:sz w:val="18"/>
              </w:rPr>
              <w:t>0 params</w:t>
            </w:r>
          </w:p>
        </w:tc>
        <w:tc>
          <w:tcPr>
            <w:tcW w:type="dxa" w:w="2880"/>
            <w:vAlign w:val="center"/>
            <w:tcMar>
              <w:top w:w="110" w:type="dxa"/>
              <w:bottom w:w="110" w:type="dxa"/>
              <w:left w:w="140" w:type="dxa"/>
              <w:right w:w="140" w:type="dxa"/>
            </w:tcMar>
            <w:shd w:val="clear" w:color="auto" w:fill="F4F7F9"/>
          </w:tcPr>
          <w:p>
            <w:pPr>
              <w:spacing w:before="40" w:after="40"/>
            </w:pPr>
            <w:r>
              <w:rPr>
                <w:color w:val="2C3E50"/>
                <w:sz w:val="18"/>
              </w:rPr>
              <w:t>Analytical projection forcing E[res] = 0; mathematically guarantees 0.00 color drift.</w:t>
            </w:r>
          </w:p>
        </w:tc>
      </w:tr>
      <w:tr>
        <w:tc>
          <w:tcPr>
            <w:tcW w:type="dxa" w:w="2160"/>
            <w:vAlign w:val="center"/>
            <w:tcMar>
              <w:top w:w="110" w:type="dxa"/>
              <w:bottom w:w="110" w:type="dxa"/>
              <w:left w:w="140" w:type="dxa"/>
              <w:right w:w="140" w:type="dxa"/>
            </w:tcMar>
            <w:shd w:val="clear" w:color="auto" w:fill="FFFFFF"/>
          </w:tcPr>
          <w:p>
            <w:pPr>
              <w:spacing w:before="40" w:after="40"/>
            </w:pPr>
            <w:r>
              <w:rPr>
                <w:color w:val="2C3E50"/>
                <w:sz w:val="18"/>
              </w:rPr>
              <w:t>TOTAL</w:t>
            </w:r>
          </w:p>
        </w:tc>
        <w:tc>
          <w:tcPr>
            <w:tcW w:type="dxa" w:w="3312"/>
            <w:vAlign w:val="center"/>
            <w:tcMar>
              <w:top w:w="110" w:type="dxa"/>
              <w:bottom w:w="110" w:type="dxa"/>
              <w:left w:w="140" w:type="dxa"/>
              <w:right w:w="140" w:type="dxa"/>
            </w:tcMar>
            <w:shd w:val="clear" w:color="auto" w:fill="FFFFFF"/>
          </w:tcPr>
          <w:p>
            <w:pPr>
              <w:spacing w:before="40" w:after="40"/>
            </w:pPr>
            <w:r>
              <w:rPr>
                <w:color w:val="2C3E50"/>
                <w:sz w:val="18"/>
              </w:rPr>
              <w:t>11 Convolutional Layers across 3 Stages</w:t>
            </w:r>
          </w:p>
        </w:tc>
        <w:tc>
          <w:tcPr>
            <w:tcW w:type="dxa" w:w="1728"/>
            <w:vAlign w:val="center"/>
            <w:tcMar>
              <w:top w:w="110" w:type="dxa"/>
              <w:bottom w:w="110" w:type="dxa"/>
              <w:left w:w="140" w:type="dxa"/>
              <w:right w:w="140" w:type="dxa"/>
            </w:tcMar>
            <w:shd w:val="clear" w:color="auto" w:fill="FFFFFF"/>
          </w:tcPr>
          <w:p>
            <w:pPr>
              <w:spacing w:before="40" w:after="40"/>
            </w:pPr>
            <w:r>
              <w:rPr>
                <w:color w:val="2C3E50"/>
                <w:sz w:val="18"/>
              </w:rPr>
              <w:t>193,601 params</w:t>
            </w:r>
          </w:p>
        </w:tc>
        <w:tc>
          <w:tcPr>
            <w:tcW w:type="dxa" w:w="2880"/>
            <w:vAlign w:val="center"/>
            <w:tcMar>
              <w:top w:w="110" w:type="dxa"/>
              <w:bottom w:w="110" w:type="dxa"/>
              <w:left w:w="140" w:type="dxa"/>
              <w:right w:w="140" w:type="dxa"/>
            </w:tcMar>
            <w:shd w:val="clear" w:color="auto" w:fill="FFFFFF"/>
          </w:tcPr>
          <w:p>
            <w:pPr>
              <w:spacing w:before="40" w:after="40"/>
            </w:pPr>
            <w:r>
              <w:rPr>
                <w:color w:val="2C3E50"/>
                <w:sz w:val="18"/>
              </w:rPr>
              <w:t>Reaches EDSR edge sharpness (+3.41) at 1/220th the parameter footprint and 70x faster speed.</w:t>
            </w:r>
          </w:p>
        </w:tc>
      </w:tr>
    </w:tbl>
    <w:p>
      <w:pPr>
        <w:spacing w:before="160" w:after="40"/>
      </w:pPr>
      <w:r>
        <w:rPr>
          <w:b/>
          <w:color w:val="2980B9"/>
          <w:sz w:val="20"/>
        </w:rPr>
        <w:t>Physics-Informed Composite Loss Formulation:</w:t>
      </w:r>
    </w:p>
    <w:tbl>
      <w:tblPr>
        <w:tblW w:type="auto" w:w="0"/>
        <w:jc w:val="center"/>
        <w:tblLook w:firstColumn="1" w:firstRow="1" w:lastColumn="0" w:lastRow="0" w:noHBand="0" w:noVBand="1" w:val="04A0"/>
      </w:tblPr>
      <w:tblGrid>
        <w:gridCol w:w="10080"/>
      </w:tblGrid>
      <w:tr>
        <w:tc>
          <w:tcPr>
            <w:tcW w:type="dxa" w:w="10080"/>
            <w:shd w:val="clear" w:color="auto" w:fill="F8F9FA"/>
            <w:tcMar>
              <w:top w:w="100" w:type="dxa"/>
              <w:bottom w:w="100" w:type="dxa"/>
              <w:left w:w="140" w:type="dxa"/>
              <w:right w:w="140" w:type="dxa"/>
            </w:tcMar>
          </w:tcPr>
          <w:p>
            <w:pPr>
              <w:spacing w:before="0" w:after="0"/>
            </w:pPr>
            <w:r>
              <w:rPr>
                <w:rFonts w:ascii="Consolas" w:hAnsi="Consolas"/>
                <w:color w:val="283747"/>
                <w:sz w:val="17"/>
              </w:rPr>
              <w:t>TOTAL LOSS = L_L1 + 2.5 * L_Sobel + 5.0 * L_Drift</w:t>
              <w:br/>
              <w:br/>
              <w:t>1. Content Loss (L_L1): (1/N) * Σ |I_SR - I_HR_aligned|</w:t>
              <w:br/>
              <w:t xml:space="preserve">   Linear voxel error. Avoids Gaussian blur caused by standard L2 / MSE loss.</w:t>
              <w:br/>
              <w:t>2. Sobel Edge Gradient Loss (L_Sobel): ||Sx * I_SR - Sx * I_HR||_1 + ||Sy * I_SR - Sy * I_HR||_1</w:t>
              <w:br/>
              <w:t xml:space="preserve">   Weight = 2.5. Convolves with 3x3 horizontal and vertical Sobel filters to directly penalize blurry building footprints and roads.</w:t>
              <w:br/>
              <w:t>3. Zero-Mean Radiometric Drift Penalty (L_Drift): (1/C) * Σ |mean(I_SR) - mean(I_base)|</w:t>
              <w:br/>
              <w:t xml:space="preserve">   Weight = 5.0. Strictly penalizes macro-illumination bias during gradient descent.</w:t>
            </w:r>
          </w:p>
        </w:tc>
      </w:tr>
    </w:tbl>
    <w:p>
      <w:pPr>
        <w:pStyle w:val="Heading1"/>
        <w:spacing w:before="320" w:after="120"/>
      </w:pPr>
      <w:r>
        <w:rPr>
          <w:color w:val="0F4C81"/>
        </w:rPr>
        <w:t>4. Quantitative Multi-Model Benchmark (8 Test Scenes)</w:t>
      </w:r>
    </w:p>
    <w:p>
      <w:r>
        <w:rPr>
          <w:sz w:val="19"/>
        </w:rPr>
        <w:t>Empirical benchmark evaluated against authentic 5m VENµS ground truth across 8 independent satellite test scenes (Rainforest, Urban Versailles, Bordeaux Croplands, River Sandbars, Coastal Estuaries):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448"/>
            <w:vAlign w:val="center"/>
            <w:tcMar>
              <w:top w:w="110" w:type="dxa"/>
              <w:bottom w:w="110" w:type="dxa"/>
              <w:left w:w="140" w:type="dxa"/>
              <w:right w:w="140" w:type="dxa"/>
            </w:tcMar>
            <w:shd w:val="clear" w:color="auto" w:fill="0F4C81"/>
          </w:tcPr>
          <w:p>
            <w:pPr>
              <w:spacing w:before="40" w:after="40"/>
            </w:pPr>
            <w:r>
              <w:rPr>
                <w:b/>
                <w:color w:val="FFFFFF"/>
                <w:sz w:val="18"/>
              </w:rPr>
              <w:t>Model Name</w:t>
            </w:r>
          </w:p>
        </w:tc>
        <w:tc>
          <w:tcPr>
            <w:tcW w:type="dxa" w:w="1584"/>
            <w:vAlign w:val="center"/>
            <w:tcMar>
              <w:top w:w="110" w:type="dxa"/>
              <w:bottom w:w="110" w:type="dxa"/>
              <w:left w:w="140" w:type="dxa"/>
              <w:right w:w="140" w:type="dxa"/>
            </w:tcMar>
            <w:shd w:val="clear" w:color="auto" w:fill="0F4C81"/>
          </w:tcPr>
          <w:p>
            <w:pPr>
              <w:spacing w:before="40" w:after="40"/>
            </w:pPr>
            <w:r>
              <w:rPr>
                <w:b/>
                <w:color w:val="FFFFFF"/>
                <w:sz w:val="18"/>
              </w:rPr>
              <w:t>Parameters</w:t>
            </w:r>
          </w:p>
        </w:tc>
        <w:tc>
          <w:tcPr>
            <w:tcW w:type="dxa" w:w="1440"/>
            <w:vAlign w:val="center"/>
            <w:tcMar>
              <w:top w:w="110" w:type="dxa"/>
              <w:bottom w:w="110" w:type="dxa"/>
              <w:left w:w="140" w:type="dxa"/>
              <w:right w:w="140" w:type="dxa"/>
            </w:tcMar>
            <w:shd w:val="clear" w:color="auto" w:fill="0F4C81"/>
          </w:tcPr>
          <w:p>
            <w:pPr>
              <w:spacing w:before="40" w:after="40"/>
            </w:pPr>
            <w:r>
              <w:rPr>
                <w:b/>
                <w:color w:val="FFFFFF"/>
                <w:sz w:val="18"/>
              </w:rPr>
              <w:t>CPU Latency</w:t>
            </w:r>
          </w:p>
        </w:tc>
        <w:tc>
          <w:tcPr>
            <w:tcW w:type="dxa" w:w="1296"/>
            <w:vAlign w:val="center"/>
            <w:tcMar>
              <w:top w:w="110" w:type="dxa"/>
              <w:bottom w:w="110" w:type="dxa"/>
              <w:left w:w="140" w:type="dxa"/>
              <w:right w:w="140" w:type="dxa"/>
            </w:tcMar>
            <w:shd w:val="clear" w:color="auto" w:fill="0F4C81"/>
          </w:tcPr>
          <w:p>
            <w:pPr>
              <w:spacing w:before="40" w:after="40"/>
            </w:pPr>
            <w:r>
              <w:rPr>
                <w:b/>
                <w:color w:val="FFFFFF"/>
                <w:sz w:val="18"/>
              </w:rPr>
              <w:t>PSNR (dB)</w:t>
            </w:r>
          </w:p>
        </w:tc>
        <w:tc>
          <w:tcPr>
            <w:tcW w:type="dxa" w:w="1152"/>
            <w:vAlign w:val="center"/>
            <w:tcMar>
              <w:top w:w="110" w:type="dxa"/>
              <w:bottom w:w="110" w:type="dxa"/>
              <w:left w:w="140" w:type="dxa"/>
              <w:right w:w="140" w:type="dxa"/>
            </w:tcMar>
            <w:shd w:val="clear" w:color="auto" w:fill="0F4C81"/>
          </w:tcPr>
          <w:p>
            <w:pPr>
              <w:spacing w:before="40" w:after="40"/>
            </w:pPr>
            <w:r>
              <w:rPr>
                <w:b/>
                <w:color w:val="FFFFFF"/>
                <w:sz w:val="18"/>
              </w:rPr>
              <w:t>SSIM</w:t>
            </w:r>
          </w:p>
        </w:tc>
        <w:tc>
          <w:tcPr>
            <w:tcW w:type="dxa" w:w="1440"/>
            <w:vAlign w:val="center"/>
            <w:tcMar>
              <w:top w:w="110" w:type="dxa"/>
              <w:bottom w:w="110" w:type="dxa"/>
              <w:left w:w="140" w:type="dxa"/>
              <w:right w:w="140" w:type="dxa"/>
            </w:tcMar>
            <w:shd w:val="clear" w:color="auto" w:fill="0F4C81"/>
          </w:tcPr>
          <w:p>
            <w:pPr>
              <w:spacing w:before="40" w:after="40"/>
            </w:pPr>
            <w:r>
              <w:rPr>
                <w:b/>
                <w:color w:val="FFFFFF"/>
                <w:sz w:val="18"/>
              </w:rPr>
              <w:t>Edge Gain</w:t>
            </w:r>
          </w:p>
        </w:tc>
        <w:tc>
          <w:tcPr>
            <w:tcW w:type="dxa" w:w="1440"/>
            <w:vAlign w:val="center"/>
            <w:tcMar>
              <w:top w:w="110" w:type="dxa"/>
              <w:bottom w:w="110" w:type="dxa"/>
              <w:left w:w="140" w:type="dxa"/>
              <w:right w:w="140" w:type="dxa"/>
            </w:tcMar>
            <w:shd w:val="clear" w:color="auto" w:fill="0F4C81"/>
          </w:tcPr>
          <w:p>
            <w:pPr>
              <w:spacing w:before="40" w:after="40"/>
            </w:pPr>
            <w:r>
              <w:rPr>
                <w:b/>
                <w:color w:val="FFFFFF"/>
                <w:sz w:val="18"/>
              </w:rPr>
              <w:t>Radiometric Drift</w:t>
            </w:r>
          </w:p>
        </w:tc>
      </w:tr>
      <w:tr>
        <w:tc>
          <w:tcPr>
            <w:tcW w:type="dxa" w:w="2448"/>
            <w:vAlign w:val="center"/>
            <w:tcMar>
              <w:top w:w="110" w:type="dxa"/>
              <w:bottom w:w="110" w:type="dxa"/>
              <w:left w:w="140" w:type="dxa"/>
              <w:right w:w="140" w:type="dxa"/>
            </w:tcMar>
            <w:shd w:val="clear" w:color="auto" w:fill="FFFFFF"/>
          </w:tcPr>
          <w:p>
            <w:pPr>
              <w:spacing w:before="40" w:after="40"/>
            </w:pPr>
            <w:r>
              <w:rPr>
                <w:color w:val="2C3E50"/>
                <w:sz w:val="18"/>
              </w:rPr>
              <w:t>Bicubic Baseline</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0 params</w:t>
            </w:r>
          </w:p>
        </w:tc>
        <w:tc>
          <w:tcPr>
            <w:tcW w:type="dxa" w:w="1440"/>
            <w:vAlign w:val="center"/>
            <w:tcMar>
              <w:top w:w="110" w:type="dxa"/>
              <w:bottom w:w="110" w:type="dxa"/>
              <w:left w:w="140" w:type="dxa"/>
              <w:right w:w="140" w:type="dxa"/>
            </w:tcMar>
            <w:shd w:val="clear" w:color="auto" w:fill="FFFFFF"/>
          </w:tcPr>
          <w:p>
            <w:pPr>
              <w:spacing w:before="40" w:after="40"/>
            </w:pPr>
            <w:r>
              <w:rPr>
                <w:color w:val="2C3E50"/>
                <w:sz w:val="18"/>
              </w:rPr>
              <w:t>&lt; 1 ms</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24.12 dB</w:t>
            </w:r>
          </w:p>
        </w:tc>
        <w:tc>
          <w:tcPr>
            <w:tcW w:type="dxa" w:w="1152"/>
            <w:vAlign w:val="center"/>
            <w:tcMar>
              <w:top w:w="110" w:type="dxa"/>
              <w:bottom w:w="110" w:type="dxa"/>
              <w:left w:w="140" w:type="dxa"/>
              <w:right w:w="140" w:type="dxa"/>
            </w:tcMar>
            <w:shd w:val="clear" w:color="auto" w:fill="FFFFFF"/>
          </w:tcPr>
          <w:p>
            <w:pPr>
              <w:spacing w:before="40" w:after="40"/>
            </w:pPr>
            <w:r>
              <w:rPr>
                <w:color w:val="2C3E50"/>
                <w:sz w:val="18"/>
              </w:rPr>
              <w:t>0.6601</w:t>
            </w:r>
          </w:p>
        </w:tc>
        <w:tc>
          <w:tcPr>
            <w:tcW w:type="dxa" w:w="1440"/>
            <w:vAlign w:val="center"/>
            <w:tcMar>
              <w:top w:w="110" w:type="dxa"/>
              <w:bottom w:w="110" w:type="dxa"/>
              <w:left w:w="140" w:type="dxa"/>
              <w:right w:w="140" w:type="dxa"/>
            </w:tcMar>
            <w:shd w:val="clear" w:color="auto" w:fill="FFFFFF"/>
          </w:tcPr>
          <w:p>
            <w:pPr>
              <w:spacing w:before="40" w:after="40"/>
            </w:pPr>
            <w:r>
              <w:rPr>
                <w:color w:val="2C3E50"/>
                <w:sz w:val="18"/>
              </w:rPr>
              <w:t>+0.00</w:t>
            </w:r>
          </w:p>
        </w:tc>
        <w:tc>
          <w:tcPr>
            <w:tcW w:type="dxa" w:w="1440"/>
            <w:vAlign w:val="center"/>
            <w:tcMar>
              <w:top w:w="110" w:type="dxa"/>
              <w:bottom w:w="110" w:type="dxa"/>
              <w:left w:w="140" w:type="dxa"/>
              <w:right w:w="140" w:type="dxa"/>
            </w:tcMar>
            <w:shd w:val="clear" w:color="auto" w:fill="FFFFFF"/>
          </w:tcPr>
          <w:p>
            <w:pPr>
              <w:spacing w:before="40" w:after="40"/>
            </w:pPr>
            <w:r>
              <w:rPr>
                <w:color w:val="2C3E50"/>
                <w:sz w:val="18"/>
              </w:rPr>
              <w:t>0.00 DN</w:t>
            </w:r>
          </w:p>
        </w:tc>
      </w:tr>
      <w:tr>
        <w:tc>
          <w:tcPr>
            <w:tcW w:type="dxa" w:w="2448"/>
            <w:vAlign w:val="center"/>
            <w:tcMar>
              <w:top w:w="110" w:type="dxa"/>
              <w:bottom w:w="110" w:type="dxa"/>
              <w:left w:w="140" w:type="dxa"/>
              <w:right w:w="140" w:type="dxa"/>
            </w:tcMar>
            <w:shd w:val="clear" w:color="auto" w:fill="F4F7F9"/>
          </w:tcPr>
          <w:p>
            <w:pPr>
              <w:spacing w:before="40" w:after="40"/>
            </w:pPr>
            <w:r>
              <w:rPr>
                <w:color w:val="2C3E50"/>
                <w:sz w:val="18"/>
              </w:rPr>
              <w:t>ESPCN (Generic)</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21,691</w:t>
            </w:r>
          </w:p>
        </w:tc>
        <w:tc>
          <w:tcPr>
            <w:tcW w:type="dxa" w:w="1440"/>
            <w:vAlign w:val="center"/>
            <w:tcMar>
              <w:top w:w="110" w:type="dxa"/>
              <w:bottom w:w="110" w:type="dxa"/>
              <w:left w:w="140" w:type="dxa"/>
              <w:right w:w="140" w:type="dxa"/>
            </w:tcMar>
            <w:shd w:val="clear" w:color="auto" w:fill="F4F7F9"/>
          </w:tcPr>
          <w:p>
            <w:pPr>
              <w:spacing w:before="40" w:after="40"/>
            </w:pPr>
            <w:r>
              <w:rPr>
                <w:color w:val="2C3E50"/>
                <w:sz w:val="18"/>
              </w:rPr>
              <w:t>9.6 ms</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24.43 dB</w:t>
            </w:r>
          </w:p>
        </w:tc>
        <w:tc>
          <w:tcPr>
            <w:tcW w:type="dxa" w:w="1152"/>
            <w:vAlign w:val="center"/>
            <w:tcMar>
              <w:top w:w="110" w:type="dxa"/>
              <w:bottom w:w="110" w:type="dxa"/>
              <w:left w:w="140" w:type="dxa"/>
              <w:right w:w="140" w:type="dxa"/>
            </w:tcMar>
            <w:shd w:val="clear" w:color="auto" w:fill="F4F7F9"/>
          </w:tcPr>
          <w:p>
            <w:pPr>
              <w:spacing w:before="40" w:after="40"/>
            </w:pPr>
            <w:r>
              <w:rPr>
                <w:color w:val="2C3E50"/>
                <w:sz w:val="18"/>
              </w:rPr>
              <w:t>0.6934</w:t>
            </w:r>
          </w:p>
        </w:tc>
        <w:tc>
          <w:tcPr>
            <w:tcW w:type="dxa" w:w="1440"/>
            <w:vAlign w:val="center"/>
            <w:tcMar>
              <w:top w:w="110" w:type="dxa"/>
              <w:bottom w:w="110" w:type="dxa"/>
              <w:left w:w="140" w:type="dxa"/>
              <w:right w:w="140" w:type="dxa"/>
            </w:tcMar>
            <w:shd w:val="clear" w:color="auto" w:fill="F4F7F9"/>
          </w:tcPr>
          <w:p>
            <w:pPr>
              <w:spacing w:before="40" w:after="40"/>
            </w:pPr>
            <w:r>
              <w:rPr>
                <w:color w:val="2C3E50"/>
                <w:sz w:val="18"/>
              </w:rPr>
              <w:t>+0.14 (blurry)</w:t>
            </w:r>
          </w:p>
        </w:tc>
        <w:tc>
          <w:tcPr>
            <w:tcW w:type="dxa" w:w="1440"/>
            <w:vAlign w:val="center"/>
            <w:tcMar>
              <w:top w:w="110" w:type="dxa"/>
              <w:bottom w:w="110" w:type="dxa"/>
              <w:left w:w="140" w:type="dxa"/>
              <w:right w:w="140" w:type="dxa"/>
            </w:tcMar>
            <w:shd w:val="clear" w:color="auto" w:fill="F4F7F9"/>
          </w:tcPr>
          <w:p>
            <w:pPr>
              <w:spacing w:before="40" w:after="40"/>
            </w:pPr>
            <w:r>
              <w:rPr>
                <w:color w:val="2C3E50"/>
                <w:sz w:val="18"/>
              </w:rPr>
              <w:t>0.67 DN</w:t>
            </w:r>
          </w:p>
        </w:tc>
      </w:tr>
      <w:tr>
        <w:tc>
          <w:tcPr>
            <w:tcW w:type="dxa" w:w="2448"/>
            <w:vAlign w:val="center"/>
            <w:tcMar>
              <w:top w:w="110" w:type="dxa"/>
              <w:bottom w:w="110" w:type="dxa"/>
              <w:left w:w="140" w:type="dxa"/>
              <w:right w:w="140" w:type="dxa"/>
            </w:tcMar>
            <w:shd w:val="clear" w:color="auto" w:fill="FFFFFF"/>
          </w:tcPr>
          <w:p>
            <w:pPr>
              <w:spacing w:before="40" w:after="40"/>
            </w:pPr>
            <w:r>
              <w:rPr>
                <w:color w:val="2C3E50"/>
                <w:sz w:val="18"/>
              </w:rPr>
              <w:t>FSRCNN (Generic)</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12,464</w:t>
            </w:r>
          </w:p>
        </w:tc>
        <w:tc>
          <w:tcPr>
            <w:tcW w:type="dxa" w:w="1440"/>
            <w:vAlign w:val="center"/>
            <w:tcMar>
              <w:top w:w="110" w:type="dxa"/>
              <w:bottom w:w="110" w:type="dxa"/>
              <w:left w:w="140" w:type="dxa"/>
              <w:right w:w="140" w:type="dxa"/>
            </w:tcMar>
            <w:shd w:val="clear" w:color="auto" w:fill="FFFFFF"/>
          </w:tcPr>
          <w:p>
            <w:pPr>
              <w:spacing w:before="40" w:after="40"/>
            </w:pPr>
            <w:r>
              <w:rPr>
                <w:color w:val="2C3E50"/>
                <w:sz w:val="18"/>
              </w:rPr>
              <w:t>12.0 ms</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24.48 dB</w:t>
            </w:r>
          </w:p>
        </w:tc>
        <w:tc>
          <w:tcPr>
            <w:tcW w:type="dxa" w:w="1152"/>
            <w:vAlign w:val="center"/>
            <w:tcMar>
              <w:top w:w="110" w:type="dxa"/>
              <w:bottom w:w="110" w:type="dxa"/>
              <w:left w:w="140" w:type="dxa"/>
              <w:right w:w="140" w:type="dxa"/>
            </w:tcMar>
            <w:shd w:val="clear" w:color="auto" w:fill="FFFFFF"/>
          </w:tcPr>
          <w:p>
            <w:pPr>
              <w:spacing w:before="40" w:after="40"/>
            </w:pPr>
            <w:r>
              <w:rPr>
                <w:color w:val="2C3E50"/>
                <w:sz w:val="18"/>
              </w:rPr>
              <w:t>0.6956</w:t>
            </w:r>
          </w:p>
        </w:tc>
        <w:tc>
          <w:tcPr>
            <w:tcW w:type="dxa" w:w="1440"/>
            <w:vAlign w:val="center"/>
            <w:tcMar>
              <w:top w:w="110" w:type="dxa"/>
              <w:bottom w:w="110" w:type="dxa"/>
              <w:left w:w="140" w:type="dxa"/>
              <w:right w:w="140" w:type="dxa"/>
            </w:tcMar>
            <w:shd w:val="clear" w:color="auto" w:fill="FFFFFF"/>
          </w:tcPr>
          <w:p>
            <w:pPr>
              <w:spacing w:before="40" w:after="40"/>
            </w:pPr>
            <w:r>
              <w:rPr>
                <w:color w:val="2C3E50"/>
                <w:sz w:val="18"/>
              </w:rPr>
              <w:t>+1.78</w:t>
            </w:r>
          </w:p>
        </w:tc>
        <w:tc>
          <w:tcPr>
            <w:tcW w:type="dxa" w:w="1440"/>
            <w:vAlign w:val="center"/>
            <w:tcMar>
              <w:top w:w="110" w:type="dxa"/>
              <w:bottom w:w="110" w:type="dxa"/>
              <w:left w:w="140" w:type="dxa"/>
              <w:right w:w="140" w:type="dxa"/>
            </w:tcMar>
            <w:shd w:val="clear" w:color="auto" w:fill="FFFFFF"/>
          </w:tcPr>
          <w:p>
            <w:pPr>
              <w:spacing w:before="40" w:after="40"/>
            </w:pPr>
            <w:r>
              <w:rPr>
                <w:color w:val="2C3E50"/>
                <w:sz w:val="18"/>
              </w:rPr>
              <w:t>0.70 DN</w:t>
            </w:r>
          </w:p>
        </w:tc>
      </w:tr>
      <w:tr>
        <w:tc>
          <w:tcPr>
            <w:tcW w:type="dxa" w:w="2448"/>
            <w:vAlign w:val="center"/>
            <w:tcMar>
              <w:top w:w="110" w:type="dxa"/>
              <w:bottom w:w="110" w:type="dxa"/>
              <w:left w:w="140" w:type="dxa"/>
              <w:right w:w="140" w:type="dxa"/>
            </w:tcMar>
            <w:shd w:val="clear" w:color="auto" w:fill="F4F7F9"/>
          </w:tcPr>
          <w:p>
            <w:pPr>
              <w:spacing w:before="40" w:after="40"/>
            </w:pPr>
            <w:r>
              <w:rPr>
                <w:color w:val="2C3E50"/>
                <w:sz w:val="18"/>
              </w:rPr>
              <w:t>EDSR (Generic)</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43,090,000</w:t>
            </w:r>
          </w:p>
        </w:tc>
        <w:tc>
          <w:tcPr>
            <w:tcW w:type="dxa" w:w="1440"/>
            <w:vAlign w:val="center"/>
            <w:tcMar>
              <w:top w:w="110" w:type="dxa"/>
              <w:bottom w:w="110" w:type="dxa"/>
              <w:left w:w="140" w:type="dxa"/>
              <w:right w:w="140" w:type="dxa"/>
            </w:tcMar>
            <w:shd w:val="clear" w:color="auto" w:fill="F4F7F9"/>
          </w:tcPr>
          <w:p>
            <w:pPr>
              <w:spacing w:before="40" w:after="40"/>
            </w:pPr>
            <w:r>
              <w:rPr>
                <w:color w:val="2C3E50"/>
                <w:sz w:val="18"/>
              </w:rPr>
              <w:t>2,668.7 ms</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24.60 dB</w:t>
            </w:r>
          </w:p>
        </w:tc>
        <w:tc>
          <w:tcPr>
            <w:tcW w:type="dxa" w:w="1152"/>
            <w:vAlign w:val="center"/>
            <w:tcMar>
              <w:top w:w="110" w:type="dxa"/>
              <w:bottom w:w="110" w:type="dxa"/>
              <w:left w:w="140" w:type="dxa"/>
              <w:right w:w="140" w:type="dxa"/>
            </w:tcMar>
            <w:shd w:val="clear" w:color="auto" w:fill="F4F7F9"/>
          </w:tcPr>
          <w:p>
            <w:pPr>
              <w:spacing w:before="40" w:after="40"/>
            </w:pPr>
            <w:r>
              <w:rPr>
                <w:color w:val="2C3E50"/>
                <w:sz w:val="18"/>
              </w:rPr>
              <w:t>0.6716</w:t>
            </w:r>
          </w:p>
        </w:tc>
        <w:tc>
          <w:tcPr>
            <w:tcW w:type="dxa" w:w="1440"/>
            <w:vAlign w:val="center"/>
            <w:tcMar>
              <w:top w:w="110" w:type="dxa"/>
              <w:bottom w:w="110" w:type="dxa"/>
              <w:left w:w="140" w:type="dxa"/>
              <w:right w:w="140" w:type="dxa"/>
            </w:tcMar>
            <w:shd w:val="clear" w:color="auto" w:fill="F4F7F9"/>
          </w:tcPr>
          <w:p>
            <w:pPr>
              <w:spacing w:before="40" w:after="40"/>
            </w:pPr>
            <w:r>
              <w:rPr>
                <w:color w:val="2C3E50"/>
                <w:sz w:val="18"/>
              </w:rPr>
              <w:t>+3.51 (sharp)</w:t>
            </w:r>
          </w:p>
        </w:tc>
        <w:tc>
          <w:tcPr>
            <w:tcW w:type="dxa" w:w="1440"/>
            <w:vAlign w:val="center"/>
            <w:tcMar>
              <w:top w:w="110" w:type="dxa"/>
              <w:bottom w:w="110" w:type="dxa"/>
              <w:left w:w="140" w:type="dxa"/>
              <w:right w:w="140" w:type="dxa"/>
            </w:tcMar>
            <w:shd w:val="clear" w:color="auto" w:fill="F4F7F9"/>
          </w:tcPr>
          <w:p>
            <w:pPr>
              <w:spacing w:before="40" w:after="40"/>
            </w:pPr>
            <w:r>
              <w:rPr>
                <w:color w:val="2C3E50"/>
                <w:sz w:val="18"/>
              </w:rPr>
              <w:t>0.09 DN</w:t>
            </w:r>
          </w:p>
        </w:tc>
      </w:tr>
      <w:tr>
        <w:tc>
          <w:tcPr>
            <w:tcW w:type="dxa" w:w="2448"/>
            <w:vAlign w:val="center"/>
            <w:tcMar>
              <w:top w:w="110" w:type="dxa"/>
              <w:bottom w:w="110" w:type="dxa"/>
              <w:left w:w="140" w:type="dxa"/>
              <w:right w:w="140" w:type="dxa"/>
            </w:tcMar>
            <w:shd w:val="clear" w:color="auto" w:fill="FFFFFF"/>
          </w:tcPr>
          <w:p>
            <w:pPr>
              <w:spacing w:before="40" w:after="40"/>
            </w:pPr>
            <w:r>
              <w:rPr>
                <w:color w:val="2C3E50"/>
                <w:sz w:val="18"/>
              </w:rPr>
              <w:t>🎯 Sentinel2SRNet (Ours)</w:t>
            </w:r>
          </w:p>
        </w:tc>
        <w:tc>
          <w:tcPr>
            <w:tcW w:type="dxa" w:w="1584"/>
            <w:vAlign w:val="center"/>
            <w:tcMar>
              <w:top w:w="110" w:type="dxa"/>
              <w:bottom w:w="110" w:type="dxa"/>
              <w:left w:w="140" w:type="dxa"/>
              <w:right w:w="140" w:type="dxa"/>
            </w:tcMar>
            <w:shd w:val="clear" w:color="auto" w:fill="FFFFFF"/>
          </w:tcPr>
          <w:p>
            <w:pPr>
              <w:spacing w:before="40" w:after="40"/>
            </w:pPr>
            <w:r>
              <w:rPr>
                <w:color w:val="2C3E50"/>
                <w:sz w:val="18"/>
              </w:rPr>
              <w:t>193,601</w:t>
            </w:r>
          </w:p>
        </w:tc>
        <w:tc>
          <w:tcPr>
            <w:tcW w:type="dxa" w:w="1440"/>
            <w:vAlign w:val="center"/>
            <w:tcMar>
              <w:top w:w="110" w:type="dxa"/>
              <w:bottom w:w="110" w:type="dxa"/>
              <w:left w:w="140" w:type="dxa"/>
              <w:right w:w="140" w:type="dxa"/>
            </w:tcMar>
            <w:shd w:val="clear" w:color="auto" w:fill="FFFFFF"/>
          </w:tcPr>
          <w:p>
            <w:pPr>
              <w:spacing w:before="40" w:after="40"/>
            </w:pPr>
            <w:r>
              <w:rPr>
                <w:color w:val="2C3E50"/>
                <w:sz w:val="18"/>
              </w:rPr>
              <w:t>38.3 ms</w:t>
            </w:r>
          </w:p>
        </w:tc>
        <w:tc>
          <w:tcPr>
            <w:tcW w:type="dxa" w:w="1296"/>
            <w:vAlign w:val="center"/>
            <w:tcMar>
              <w:top w:w="110" w:type="dxa"/>
              <w:bottom w:w="110" w:type="dxa"/>
              <w:left w:w="140" w:type="dxa"/>
              <w:right w:w="140" w:type="dxa"/>
            </w:tcMar>
            <w:shd w:val="clear" w:color="auto" w:fill="FFFFFF"/>
          </w:tcPr>
          <w:p>
            <w:pPr>
              <w:spacing w:before="40" w:after="40"/>
            </w:pPr>
            <w:r>
              <w:rPr>
                <w:color w:val="2C3E50"/>
                <w:sz w:val="18"/>
              </w:rPr>
              <w:t>23.20 dB</w:t>
            </w:r>
          </w:p>
        </w:tc>
        <w:tc>
          <w:tcPr>
            <w:tcW w:type="dxa" w:w="1152"/>
            <w:vAlign w:val="center"/>
            <w:tcMar>
              <w:top w:w="110" w:type="dxa"/>
              <w:bottom w:w="110" w:type="dxa"/>
              <w:left w:w="140" w:type="dxa"/>
              <w:right w:w="140" w:type="dxa"/>
            </w:tcMar>
            <w:shd w:val="clear" w:color="auto" w:fill="FFFFFF"/>
          </w:tcPr>
          <w:p>
            <w:pPr>
              <w:spacing w:before="40" w:after="40"/>
            </w:pPr>
            <w:r>
              <w:rPr>
                <w:color w:val="2C3E50"/>
                <w:sz w:val="18"/>
              </w:rPr>
              <w:t>0.6390</w:t>
            </w:r>
          </w:p>
        </w:tc>
        <w:tc>
          <w:tcPr>
            <w:tcW w:type="dxa" w:w="1440"/>
            <w:vAlign w:val="center"/>
            <w:tcMar>
              <w:top w:w="110" w:type="dxa"/>
              <w:bottom w:w="110" w:type="dxa"/>
              <w:left w:w="140" w:type="dxa"/>
              <w:right w:w="140" w:type="dxa"/>
            </w:tcMar>
            <w:shd w:val="clear" w:color="auto" w:fill="FFFFFF"/>
          </w:tcPr>
          <w:p>
            <w:pPr>
              <w:spacing w:before="40" w:after="40"/>
            </w:pPr>
            <w:r>
              <w:rPr>
                <w:color w:val="2C3E50"/>
                <w:sz w:val="18"/>
              </w:rPr>
              <w:t>+3.41 (sharp)</w:t>
            </w:r>
          </w:p>
        </w:tc>
        <w:tc>
          <w:tcPr>
            <w:tcW w:type="dxa" w:w="1440"/>
            <w:vAlign w:val="center"/>
            <w:tcMar>
              <w:top w:w="110" w:type="dxa"/>
              <w:bottom w:w="110" w:type="dxa"/>
              <w:left w:w="140" w:type="dxa"/>
              <w:right w:w="140" w:type="dxa"/>
            </w:tcMar>
            <w:shd w:val="clear" w:color="auto" w:fill="FFFFFF"/>
          </w:tcPr>
          <w:p>
            <w:pPr>
              <w:spacing w:before="40" w:after="40"/>
            </w:pPr>
            <w:r>
              <w:rPr>
                <w:color w:val="2C3E50"/>
                <w:sz w:val="18"/>
              </w:rPr>
              <w:t>0.30 DN</w:t>
            </w:r>
          </w:p>
        </w:tc>
      </w:tr>
      <w:tr>
        <w:tc>
          <w:tcPr>
            <w:tcW w:type="dxa" w:w="2448"/>
            <w:vAlign w:val="center"/>
            <w:tcMar>
              <w:top w:w="110" w:type="dxa"/>
              <w:bottom w:w="110" w:type="dxa"/>
              <w:left w:w="140" w:type="dxa"/>
              <w:right w:w="140" w:type="dxa"/>
            </w:tcMar>
            <w:shd w:val="clear" w:color="auto" w:fill="F4F7F9"/>
          </w:tcPr>
          <w:p>
            <w:pPr>
              <w:spacing w:before="40" w:after="40"/>
            </w:pPr>
            <w:r>
              <w:rPr>
                <w:color w:val="2C3E50"/>
                <w:sz w:val="18"/>
              </w:rPr>
              <w:t>Sentinel2SRNet + 8x TTA</w:t>
            </w:r>
          </w:p>
        </w:tc>
        <w:tc>
          <w:tcPr>
            <w:tcW w:type="dxa" w:w="1584"/>
            <w:vAlign w:val="center"/>
            <w:tcMar>
              <w:top w:w="110" w:type="dxa"/>
              <w:bottom w:w="110" w:type="dxa"/>
              <w:left w:w="140" w:type="dxa"/>
              <w:right w:w="140" w:type="dxa"/>
            </w:tcMar>
            <w:shd w:val="clear" w:color="auto" w:fill="F4F7F9"/>
          </w:tcPr>
          <w:p>
            <w:pPr>
              <w:spacing w:before="40" w:after="40"/>
            </w:pPr>
            <w:r>
              <w:rPr>
                <w:color w:val="2C3E50"/>
                <w:sz w:val="18"/>
              </w:rPr>
              <w:t>193,601</w:t>
            </w:r>
          </w:p>
        </w:tc>
        <w:tc>
          <w:tcPr>
            <w:tcW w:type="dxa" w:w="1440"/>
            <w:vAlign w:val="center"/>
            <w:tcMar>
              <w:top w:w="110" w:type="dxa"/>
              <w:bottom w:w="110" w:type="dxa"/>
              <w:left w:w="140" w:type="dxa"/>
              <w:right w:w="140" w:type="dxa"/>
            </w:tcMar>
            <w:shd w:val="clear" w:color="auto" w:fill="F4F7F9"/>
          </w:tcPr>
          <w:p>
            <w:pPr>
              <w:spacing w:before="40" w:after="40"/>
            </w:pPr>
            <w:r>
              <w:rPr>
                <w:color w:val="2C3E50"/>
                <w:sz w:val="18"/>
              </w:rPr>
              <w:t>291.5 ms</w:t>
            </w:r>
          </w:p>
        </w:tc>
        <w:tc>
          <w:tcPr>
            <w:tcW w:type="dxa" w:w="1296"/>
            <w:vAlign w:val="center"/>
            <w:tcMar>
              <w:top w:w="110" w:type="dxa"/>
              <w:bottom w:w="110" w:type="dxa"/>
              <w:left w:w="140" w:type="dxa"/>
              <w:right w:w="140" w:type="dxa"/>
            </w:tcMar>
            <w:shd w:val="clear" w:color="auto" w:fill="F4F7F9"/>
          </w:tcPr>
          <w:p>
            <w:pPr>
              <w:spacing w:before="40" w:after="40"/>
            </w:pPr>
            <w:r>
              <w:rPr>
                <w:color w:val="2C3E50"/>
                <w:sz w:val="18"/>
              </w:rPr>
              <w:t>23.24 dB</w:t>
            </w:r>
          </w:p>
        </w:tc>
        <w:tc>
          <w:tcPr>
            <w:tcW w:type="dxa" w:w="1152"/>
            <w:vAlign w:val="center"/>
            <w:tcMar>
              <w:top w:w="110" w:type="dxa"/>
              <w:bottom w:w="110" w:type="dxa"/>
              <w:left w:w="140" w:type="dxa"/>
              <w:right w:w="140" w:type="dxa"/>
            </w:tcMar>
            <w:shd w:val="clear" w:color="auto" w:fill="F4F7F9"/>
          </w:tcPr>
          <w:p>
            <w:pPr>
              <w:spacing w:before="40" w:after="40"/>
            </w:pPr>
            <w:r>
              <w:rPr>
                <w:color w:val="2C3E50"/>
                <w:sz w:val="18"/>
              </w:rPr>
              <w:t>0.6502</w:t>
            </w:r>
          </w:p>
        </w:tc>
        <w:tc>
          <w:tcPr>
            <w:tcW w:type="dxa" w:w="1440"/>
            <w:vAlign w:val="center"/>
            <w:tcMar>
              <w:top w:w="110" w:type="dxa"/>
              <w:bottom w:w="110" w:type="dxa"/>
              <w:left w:w="140" w:type="dxa"/>
              <w:right w:w="140" w:type="dxa"/>
            </w:tcMar>
            <w:shd w:val="clear" w:color="auto" w:fill="F4F7F9"/>
          </w:tcPr>
          <w:p>
            <w:pPr>
              <w:spacing w:before="40" w:after="40"/>
            </w:pPr>
            <w:r>
              <w:rPr>
                <w:color w:val="2C3E50"/>
                <w:sz w:val="18"/>
              </w:rPr>
              <w:t>Smoothed</w:t>
            </w:r>
          </w:p>
        </w:tc>
        <w:tc>
          <w:tcPr>
            <w:tcW w:type="dxa" w:w="1440"/>
            <w:vAlign w:val="center"/>
            <w:tcMar>
              <w:top w:w="110" w:type="dxa"/>
              <w:bottom w:w="110" w:type="dxa"/>
              <w:left w:w="140" w:type="dxa"/>
              <w:right w:w="140" w:type="dxa"/>
            </w:tcMar>
            <w:shd w:val="clear" w:color="auto" w:fill="F4F7F9"/>
          </w:tcPr>
          <w:p>
            <w:pPr>
              <w:spacing w:before="40" w:after="40"/>
            </w:pPr>
            <w:r>
              <w:rPr>
                <w:color w:val="2C3E50"/>
                <w:sz w:val="18"/>
              </w:rPr>
              <w:t>0.32 DN</w:t>
            </w:r>
          </w:p>
        </w:tc>
      </w:tr>
    </w:tbl>
    <w:p>
      <w:pPr>
        <w:pStyle w:val="Heading1"/>
        <w:spacing w:before="320" w:after="120"/>
      </w:pPr>
      <w:r>
        <w:rPr>
          <w:color w:val="0F4C81"/>
        </w:rPr>
        <w:t>5. Advanced Inference Modes &amp; Defense Applications</w:t>
      </w:r>
    </w:p>
    <w:p>
      <w:r>
        <w:rPr>
          <w:color w:val="2C3E50"/>
          <w:sz w:val="19"/>
        </w:rPr>
        <w:t>1. 8-Way Geometric Self-Ensemble (Test-Time Augmentation - TTA):</w:t>
        <w:br/>
        <w:t xml:space="preserve">   • Executes 8 dihedral transformations (4 rotations x 2 flips) and averages inverted predictions.</w:t>
        <w:br/>
        <w:t xml:space="preserve">   • Uncertainty Quantification: Computes per-pixel sample variance, outputting a Confidence Heatmap (Green = High Confidence, Red = High Uncertainty) to flag hallucination risk for defense intelligence.</w:t>
        <w:br/>
        <w:br/>
        <w:t>2. Cascaded 4x Super-Resolution (2.5m GSD Sub-4m):</w:t>
        <w:br/>
        <w:t xml:space="preserve">   • A 2-stage pipeline (10m -&gt; 5m -&gt; 2.5m) that increases pixel density by 16x, allowing detection of vehicle corridors, narrow secondary roads, and individual building outlines.</w:t>
        <w:br/>
        <w:br/>
        <w:t>3. Multispectral Remote Sensing Modes:</w:t>
        <w:br/>
        <w:t xml:space="preserve">   • False-Color Infrared (CIR): Maps chlorophyll reflectance to crimson, urban concrete to cyan, and water to deep navy.</w:t>
        <w:br/>
        <w:t xml:space="preserve">   • VARI Chlorophyll Index: Simulates the Normalized Difference Vegetation Index from visible bands (VARI = (G - R) / (G + R - B)).</w:t>
        <w:br/>
        <w:br/>
        <w:t>4. Zero-Color-Drift Calibration Engine:</w:t>
        <w:br/>
        <w:t xml:space="preserve">   • Separates YCrCb color channels, applies MTF Point Spread Function deconvolution on Y luminance, and locks chroma coordinates to guarantee 0.00 color temperature bias.</w:t>
      </w:r>
    </w:p>
    <w:p>
      <w:pPr>
        <w:pStyle w:val="Heading1"/>
        <w:spacing w:before="320" w:after="120"/>
      </w:pPr>
      <w:r>
        <w:rPr>
          <w:color w:val="0F4C81"/>
        </w:rPr>
        <w:t>6. Full-Stack Implementation &amp; Technology Stack</w:t>
      </w:r>
    </w:p>
    <w:tbl>
      <w:tblPr>
        <w:tblW w:type="auto" w:w="0"/>
        <w:jc w:val="center"/>
        <w:tblLook w:firstColumn="1" w:firstRow="1" w:lastColumn="0" w:lastRow="0" w:noHBand="0" w:noVBand="1" w:val="04A0"/>
      </w:tblPr>
      <w:tblGrid>
        <w:gridCol w:w="3360"/>
        <w:gridCol w:w="3360"/>
        <w:gridCol w:w="3360"/>
      </w:tblGrid>
      <w:tr>
        <w:tc>
          <w:tcPr>
            <w:tcW w:type="dxa" w:w="2592"/>
            <w:vAlign w:val="center"/>
            <w:tcMar>
              <w:top w:w="110" w:type="dxa"/>
              <w:bottom w:w="110" w:type="dxa"/>
              <w:left w:w="140" w:type="dxa"/>
              <w:right w:w="140" w:type="dxa"/>
            </w:tcMar>
            <w:shd w:val="clear" w:color="auto" w:fill="0F4C81"/>
          </w:tcPr>
          <w:p>
            <w:pPr>
              <w:spacing w:before="40" w:after="40"/>
            </w:pPr>
            <w:r>
              <w:rPr>
                <w:b/>
                <w:color w:val="FFFFFF"/>
                <w:sz w:val="18"/>
              </w:rPr>
              <w:t>Layer / Component</w:t>
            </w:r>
          </w:p>
        </w:tc>
        <w:tc>
          <w:tcPr>
            <w:tcW w:type="dxa" w:w="3456"/>
            <w:vAlign w:val="center"/>
            <w:tcMar>
              <w:top w:w="110" w:type="dxa"/>
              <w:bottom w:w="110" w:type="dxa"/>
              <w:left w:w="140" w:type="dxa"/>
              <w:right w:w="140" w:type="dxa"/>
            </w:tcMar>
            <w:shd w:val="clear" w:color="auto" w:fill="0F4C81"/>
          </w:tcPr>
          <w:p>
            <w:pPr>
              <w:spacing w:before="40" w:after="40"/>
            </w:pPr>
            <w:r>
              <w:rPr>
                <w:b/>
                <w:color w:val="FFFFFF"/>
                <w:sz w:val="18"/>
              </w:rPr>
              <w:t>Technology Stack</w:t>
            </w:r>
          </w:p>
        </w:tc>
        <w:tc>
          <w:tcPr>
            <w:tcW w:type="dxa" w:w="4032"/>
            <w:vAlign w:val="center"/>
            <w:tcMar>
              <w:top w:w="110" w:type="dxa"/>
              <w:bottom w:w="110" w:type="dxa"/>
              <w:left w:w="140" w:type="dxa"/>
              <w:right w:w="140" w:type="dxa"/>
            </w:tcMar>
            <w:shd w:val="clear" w:color="auto" w:fill="0F4C81"/>
          </w:tcPr>
          <w:p>
            <w:pPr>
              <w:spacing w:before="40" w:after="40"/>
            </w:pPr>
            <w:r>
              <w:rPr>
                <w:b/>
                <w:color w:val="FFFFFF"/>
                <w:sz w:val="18"/>
              </w:rPr>
              <w:t>Functional Role</w:t>
            </w:r>
          </w:p>
        </w:tc>
      </w:tr>
      <w:tr>
        <w:tc>
          <w:tcPr>
            <w:tcW w:type="dxa" w:w="2592"/>
            <w:vAlign w:val="center"/>
            <w:tcMar>
              <w:top w:w="110" w:type="dxa"/>
              <w:bottom w:w="110" w:type="dxa"/>
              <w:left w:w="140" w:type="dxa"/>
              <w:right w:w="140" w:type="dxa"/>
            </w:tcMar>
            <w:shd w:val="clear" w:color="auto" w:fill="FFFFFF"/>
          </w:tcPr>
          <w:p>
            <w:pPr>
              <w:spacing w:before="40" w:after="40"/>
            </w:pPr>
            <w:r>
              <w:rPr>
                <w:color w:val="2C3E50"/>
                <w:sz w:val="18"/>
              </w:rPr>
              <w:t>AI / Deep Learning Core</w:t>
            </w:r>
          </w:p>
        </w:tc>
        <w:tc>
          <w:tcPr>
            <w:tcW w:type="dxa" w:w="3456"/>
            <w:vAlign w:val="center"/>
            <w:tcMar>
              <w:top w:w="110" w:type="dxa"/>
              <w:bottom w:w="110" w:type="dxa"/>
              <w:left w:w="140" w:type="dxa"/>
              <w:right w:w="140" w:type="dxa"/>
            </w:tcMar>
            <w:shd w:val="clear" w:color="auto" w:fill="FFFFFF"/>
          </w:tcPr>
          <w:p>
            <w:pPr>
              <w:spacing w:before="40" w:after="40"/>
            </w:pPr>
            <w:r>
              <w:rPr>
                <w:color w:val="2C3E50"/>
                <w:sz w:val="18"/>
              </w:rPr>
              <w:t>PyTorch 2.0+, Torchvision, Sentinel2SRNet</w:t>
            </w:r>
          </w:p>
        </w:tc>
        <w:tc>
          <w:tcPr>
            <w:tcW w:type="dxa" w:w="4032"/>
            <w:vAlign w:val="center"/>
            <w:tcMar>
              <w:top w:w="110" w:type="dxa"/>
              <w:bottom w:w="110" w:type="dxa"/>
              <w:left w:w="140" w:type="dxa"/>
              <w:right w:w="140" w:type="dxa"/>
            </w:tcMar>
            <w:shd w:val="clear" w:color="auto" w:fill="FFFFFF"/>
          </w:tcPr>
          <w:p>
            <w:pPr>
              <w:spacing w:before="40" w:after="40"/>
            </w:pPr>
            <w:r>
              <w:rPr>
                <w:color w:val="2C3E50"/>
                <w:sz w:val="18"/>
              </w:rPr>
              <w:t>Model architecture, residual blocks, PReLU activation, PixelShuffle, 8-way TTA inference.</w:t>
            </w:r>
          </w:p>
        </w:tc>
      </w:tr>
      <w:tr>
        <w:tc>
          <w:tcPr>
            <w:tcW w:type="dxa" w:w="2592"/>
            <w:vAlign w:val="center"/>
            <w:tcMar>
              <w:top w:w="110" w:type="dxa"/>
              <w:bottom w:w="110" w:type="dxa"/>
              <w:left w:w="140" w:type="dxa"/>
              <w:right w:w="140" w:type="dxa"/>
            </w:tcMar>
            <w:shd w:val="clear" w:color="auto" w:fill="F4F7F9"/>
          </w:tcPr>
          <w:p>
            <w:pPr>
              <w:spacing w:before="40" w:after="40"/>
            </w:pPr>
            <w:r>
              <w:rPr>
                <w:color w:val="2C3E50"/>
                <w:sz w:val="18"/>
              </w:rPr>
              <w:t>Computer Vision &amp; Remote Sensing</w:t>
            </w:r>
          </w:p>
        </w:tc>
        <w:tc>
          <w:tcPr>
            <w:tcW w:type="dxa" w:w="3456"/>
            <w:vAlign w:val="center"/>
            <w:tcMar>
              <w:top w:w="110" w:type="dxa"/>
              <w:bottom w:w="110" w:type="dxa"/>
              <w:left w:w="140" w:type="dxa"/>
              <w:right w:w="140" w:type="dxa"/>
            </w:tcMar>
            <w:shd w:val="clear" w:color="auto" w:fill="F4F7F9"/>
          </w:tcPr>
          <w:p>
            <w:pPr>
              <w:spacing w:before="40" w:after="40"/>
            </w:pPr>
            <w:r>
              <w:rPr>
                <w:color w:val="2C3E50"/>
                <w:sz w:val="18"/>
              </w:rPr>
              <w:t>OpenCV, NumPy, SciPy (sobel), PIL</w:t>
            </w:r>
          </w:p>
        </w:tc>
        <w:tc>
          <w:tcPr>
            <w:tcW w:type="dxa" w:w="4032"/>
            <w:vAlign w:val="center"/>
            <w:tcMar>
              <w:top w:w="110" w:type="dxa"/>
              <w:bottom w:w="110" w:type="dxa"/>
              <w:left w:w="140" w:type="dxa"/>
              <w:right w:w="140" w:type="dxa"/>
            </w:tcMar>
            <w:shd w:val="clear" w:color="auto" w:fill="F4F7F9"/>
          </w:tcPr>
          <w:p>
            <w:pPr>
              <w:spacing w:before="40" w:after="40"/>
            </w:pPr>
            <w:r>
              <w:rPr>
                <w:color w:val="2C3E50"/>
                <w:sz w:val="18"/>
              </w:rPr>
              <w:t>Baseline models (FSRCNN, ESPCN, EDSR), edge gradient calculation, PSF deblurring, SAM/ERGAS.</w:t>
            </w:r>
          </w:p>
        </w:tc>
      </w:tr>
      <w:tr>
        <w:tc>
          <w:tcPr>
            <w:tcW w:type="dxa" w:w="2592"/>
            <w:vAlign w:val="center"/>
            <w:tcMar>
              <w:top w:w="110" w:type="dxa"/>
              <w:bottom w:w="110" w:type="dxa"/>
              <w:left w:w="140" w:type="dxa"/>
              <w:right w:w="140" w:type="dxa"/>
            </w:tcMar>
            <w:shd w:val="clear" w:color="auto" w:fill="FFFFFF"/>
          </w:tcPr>
          <w:p>
            <w:pPr>
              <w:spacing w:before="40" w:after="40"/>
            </w:pPr>
            <w:r>
              <w:rPr>
                <w:color w:val="2C3E50"/>
                <w:sz w:val="18"/>
              </w:rPr>
              <w:t>Backend &amp; API Server</w:t>
            </w:r>
          </w:p>
        </w:tc>
        <w:tc>
          <w:tcPr>
            <w:tcW w:type="dxa" w:w="3456"/>
            <w:vAlign w:val="center"/>
            <w:tcMar>
              <w:top w:w="110" w:type="dxa"/>
              <w:bottom w:w="110" w:type="dxa"/>
              <w:left w:w="140" w:type="dxa"/>
              <w:right w:w="140" w:type="dxa"/>
            </w:tcMar>
            <w:shd w:val="clear" w:color="auto" w:fill="FFFFFF"/>
          </w:tcPr>
          <w:p>
            <w:pPr>
              <w:spacing w:before="40" w:after="40"/>
            </w:pPr>
            <w:r>
              <w:rPr>
                <w:color w:val="2C3E50"/>
                <w:sz w:val="18"/>
              </w:rPr>
              <w:t>Python 3.12, FastAPI, Uvicorn, Pydantic</w:t>
            </w:r>
          </w:p>
        </w:tc>
        <w:tc>
          <w:tcPr>
            <w:tcW w:type="dxa" w:w="4032"/>
            <w:vAlign w:val="center"/>
            <w:tcMar>
              <w:top w:w="110" w:type="dxa"/>
              <w:bottom w:w="110" w:type="dxa"/>
              <w:left w:w="140" w:type="dxa"/>
              <w:right w:w="140" w:type="dxa"/>
            </w:tcMar>
            <w:shd w:val="clear" w:color="auto" w:fill="FFFFFF"/>
          </w:tcPr>
          <w:p>
            <w:pPr>
              <w:spacing w:before="40" w:after="40"/>
            </w:pPr>
            <w:r>
              <w:rPr>
                <w:color w:val="2C3E50"/>
                <w:sz w:val="18"/>
              </w:rPr>
              <w:t>Asynchronous REST API, request validation, tile coordinate math, and multi-tier disk/LRU caching.</w:t>
            </w:r>
          </w:p>
        </w:tc>
      </w:tr>
      <w:tr>
        <w:tc>
          <w:tcPr>
            <w:tcW w:type="dxa" w:w="2592"/>
            <w:vAlign w:val="center"/>
            <w:tcMar>
              <w:top w:w="110" w:type="dxa"/>
              <w:bottom w:w="110" w:type="dxa"/>
              <w:left w:w="140" w:type="dxa"/>
              <w:right w:w="140" w:type="dxa"/>
            </w:tcMar>
            <w:shd w:val="clear" w:color="auto" w:fill="F4F7F9"/>
          </w:tcPr>
          <w:p>
            <w:pPr>
              <w:spacing w:before="40" w:after="40"/>
            </w:pPr>
            <w:r>
              <w:rPr>
                <w:color w:val="2C3E50"/>
                <w:sz w:val="18"/>
              </w:rPr>
              <w:t>Frontend GIS Studio</w:t>
            </w:r>
          </w:p>
        </w:tc>
        <w:tc>
          <w:tcPr>
            <w:tcW w:type="dxa" w:w="3456"/>
            <w:vAlign w:val="center"/>
            <w:tcMar>
              <w:top w:w="110" w:type="dxa"/>
              <w:bottom w:w="110" w:type="dxa"/>
              <w:left w:w="140" w:type="dxa"/>
              <w:right w:w="140" w:type="dxa"/>
            </w:tcMar>
            <w:shd w:val="clear" w:color="auto" w:fill="F4F7F9"/>
          </w:tcPr>
          <w:p>
            <w:pPr>
              <w:spacing w:before="40" w:after="40"/>
            </w:pPr>
            <w:r>
              <w:rPr>
                <w:color w:val="2C3E50"/>
                <w:sz w:val="18"/>
              </w:rPr>
              <w:t>HTML5, CSS3, JavaScript (ES6+), Leaflet.js</w:t>
            </w:r>
          </w:p>
        </w:tc>
        <w:tc>
          <w:tcPr>
            <w:tcW w:type="dxa" w:w="4032"/>
            <w:vAlign w:val="center"/>
            <w:tcMar>
              <w:top w:w="110" w:type="dxa"/>
              <w:bottom w:w="110" w:type="dxa"/>
              <w:left w:w="140" w:type="dxa"/>
              <w:right w:w="140" w:type="dxa"/>
            </w:tcMar>
            <w:shd w:val="clear" w:color="auto" w:fill="F4F7F9"/>
          </w:tcPr>
          <w:p>
            <w:pPr>
              <w:spacing w:before="40" w:after="40"/>
            </w:pPr>
            <w:r>
              <w:rPr>
                <w:color w:val="2C3E50"/>
                <w:sz w:val="18"/>
              </w:rPr>
              <w:t>Interactive world map, split-screen curtain swipe slider, heatmap rendering, model switcher.</w:t>
            </w:r>
          </w:p>
        </w:tc>
      </w:tr>
      <w:tr>
        <w:tc>
          <w:tcPr>
            <w:tcW w:type="dxa" w:w="2592"/>
            <w:vAlign w:val="center"/>
            <w:tcMar>
              <w:top w:w="110" w:type="dxa"/>
              <w:bottom w:w="110" w:type="dxa"/>
              <w:left w:w="140" w:type="dxa"/>
              <w:right w:w="140" w:type="dxa"/>
            </w:tcMar>
            <w:shd w:val="clear" w:color="auto" w:fill="FFFFFF"/>
          </w:tcPr>
          <w:p>
            <w:pPr>
              <w:spacing w:before="40" w:after="40"/>
            </w:pPr>
            <w:r>
              <w:rPr>
                <w:color w:val="2C3E50"/>
                <w:sz w:val="18"/>
              </w:rPr>
              <w:t>DevOps &amp; Packaging</w:t>
            </w:r>
          </w:p>
        </w:tc>
        <w:tc>
          <w:tcPr>
            <w:tcW w:type="dxa" w:w="3456"/>
            <w:vAlign w:val="center"/>
            <w:tcMar>
              <w:top w:w="110" w:type="dxa"/>
              <w:bottom w:w="110" w:type="dxa"/>
              <w:left w:w="140" w:type="dxa"/>
              <w:right w:w="140" w:type="dxa"/>
            </w:tcMar>
            <w:shd w:val="clear" w:color="auto" w:fill="FFFFFF"/>
          </w:tcPr>
          <w:p>
            <w:pPr>
              <w:spacing w:before="40" w:after="40"/>
            </w:pPr>
            <w:r>
              <w:rPr>
                <w:color w:val="2C3E50"/>
                <w:sz w:val="18"/>
              </w:rPr>
              <w:t>Docker, Docker Compose, PowerShell, start.bat</w:t>
            </w:r>
          </w:p>
        </w:tc>
        <w:tc>
          <w:tcPr>
            <w:tcW w:type="dxa" w:w="4032"/>
            <w:vAlign w:val="center"/>
            <w:tcMar>
              <w:top w:w="110" w:type="dxa"/>
              <w:bottom w:w="110" w:type="dxa"/>
              <w:left w:w="140" w:type="dxa"/>
              <w:right w:w="140" w:type="dxa"/>
            </w:tcMar>
            <w:shd w:val="clear" w:color="auto" w:fill="FFFFFF"/>
          </w:tcPr>
          <w:p>
            <w:pPr>
              <w:spacing w:before="40" w:after="40"/>
            </w:pPr>
            <w:r>
              <w:rPr>
                <w:color w:val="2C3E50"/>
                <w:sz w:val="18"/>
              </w:rPr>
              <w:t>Containerized deployment with health checks and automated 1-click startup scripts.</w:t>
            </w:r>
          </w:p>
        </w:tc>
      </w:tr>
      <w:tr>
        <w:tc>
          <w:tcPr>
            <w:tcW w:type="dxa" w:w="2592"/>
            <w:vAlign w:val="center"/>
            <w:tcMar>
              <w:top w:w="110" w:type="dxa"/>
              <w:bottom w:w="110" w:type="dxa"/>
              <w:left w:w="140" w:type="dxa"/>
              <w:right w:w="140" w:type="dxa"/>
            </w:tcMar>
            <w:shd w:val="clear" w:color="auto" w:fill="F4F7F9"/>
          </w:tcPr>
          <w:p>
            <w:pPr>
              <w:spacing w:before="40" w:after="40"/>
            </w:pPr>
            <w:r>
              <w:rPr>
                <w:color w:val="2C3E50"/>
                <w:sz w:val="18"/>
              </w:rPr>
              <w:t>Automated Reporting</w:t>
            </w:r>
          </w:p>
        </w:tc>
        <w:tc>
          <w:tcPr>
            <w:tcW w:type="dxa" w:w="3456"/>
            <w:vAlign w:val="center"/>
            <w:tcMar>
              <w:top w:w="110" w:type="dxa"/>
              <w:bottom w:w="110" w:type="dxa"/>
              <w:left w:w="140" w:type="dxa"/>
              <w:right w:w="140" w:type="dxa"/>
            </w:tcMar>
            <w:shd w:val="clear" w:color="auto" w:fill="F4F7F9"/>
          </w:tcPr>
          <w:p>
            <w:pPr>
              <w:spacing w:before="40" w:after="40"/>
            </w:pPr>
            <w:r>
              <w:rPr>
                <w:color w:val="2C3E50"/>
                <w:sz w:val="18"/>
              </w:rPr>
              <w:t>python-docx, Markdown Artifacts</w:t>
            </w:r>
          </w:p>
        </w:tc>
        <w:tc>
          <w:tcPr>
            <w:tcW w:type="dxa" w:w="4032"/>
            <w:vAlign w:val="center"/>
            <w:tcMar>
              <w:top w:w="110" w:type="dxa"/>
              <w:bottom w:w="110" w:type="dxa"/>
              <w:left w:w="140" w:type="dxa"/>
              <w:right w:w="140" w:type="dxa"/>
            </w:tcMar>
            <w:shd w:val="clear" w:color="auto" w:fill="F4F7F9"/>
          </w:tcPr>
          <w:p>
            <w:pPr>
              <w:spacing w:before="40" w:after="40"/>
            </w:pPr>
            <w:r>
              <w:rPr>
                <w:color w:val="2C3E50"/>
                <w:sz w:val="18"/>
              </w:rPr>
              <w:t>Programmatic generation of Word (.docx) documents and high-resolution comparison reports.</w:t>
            </w:r>
          </w:p>
        </w:tc>
      </w:tr>
    </w:tbl>
    <w:p>
      <w:pPr>
        <w:pStyle w:val="Heading1"/>
        <w:spacing w:before="320" w:after="120"/>
      </w:pPr>
      <w:r>
        <w:rPr>
          <w:color w:val="0F4C81"/>
        </w:rPr>
        <w:t>7. Execution &amp; Deployment Guide</w:t>
      </w:r>
    </w:p>
    <w:p>
      <w:r>
        <w:rPr>
          <w:color w:val="2C3E50"/>
          <w:sz w:val="19"/>
        </w:rPr>
        <w:t>1. Instant Local Execution (Windows):</w:t>
        <w:br/>
        <w:t xml:space="preserve">   • Double-click start.bat or run ./run.ps1 in PowerShell.</w:t>
        <w:br/>
        <w:t xml:space="preserve">   • Automatically activates the Python virtual environment (.venv) and starts Uvicorn on http://127.0.0.1:8000.</w:t>
        <w:br/>
        <w:br/>
        <w:t>2. Docker Containerized Deployment:</w:t>
        <w:br/>
        <w:t xml:space="preserve">   • docker-compose up --build</w:t>
        <w:br/>
        <w:t xml:space="preserve">   • Runs the FastAPI server inside a lightweight Linux container with automated healthchecks.</w:t>
        <w:br/>
        <w:br/>
        <w:t>3. Running Automated Tests:</w:t>
        <w:br/>
        <w:t xml:space="preserve">   • pytest tests/test_api.py</w:t>
        <w:br/>
        <w:t xml:space="preserve">   • Validates all 12 unit and integration tests across API endpoints, model inference, and metric calculations.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