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4C81"/>
          <w:sz w:val="44"/>
        </w:rPr>
        <w:t>🛰️ Comprehensive Model Benchmark, Loss Formulations &amp; Architectural Analysis</w:t>
      </w:r>
    </w:p>
    <w:p>
      <w:pPr>
        <w:spacing w:before="0" w:after="320"/>
      </w:pPr>
      <w:r>
        <w:rPr>
          <w:rFonts w:ascii="Calibri" w:hAnsi="Calibri"/>
          <w:i/>
          <w:color w:val="7F8C8D"/>
          <w:sz w:val="22"/>
        </w:rPr>
        <w:t>Deep Learning Super-Resolution on Sentinel-2 Earth Observation Satellite Imagery</w:t>
        <w:br/>
        <w:t>Comparing Custom Sentinel2SRNet vs. ESPCN, FSRCNN, EDSR &amp; Bicubic Baselines</w:t>
      </w:r>
    </w:p>
    <w:p>
      <w:pPr>
        <w:spacing w:before="0" w:after="280"/>
      </w:pPr>
      <w:r>
        <w:rPr>
          <w:color w:val="2C3E50"/>
          <w:sz w:val="20"/>
        </w:rPr>
        <w:t>This technical report provides an exhaustive, side-by-side technical breakdown of our custom-trained Sentinel2SRNet model compared against the open-source super-resolution baselines (FSRCNN, ESPCN, EDSR, and Bicubic interpolation). All metrics are evaluated against real 5m VENµS satellite ground truth.</w:t>
      </w:r>
    </w:p>
    <w:p>
      <w:pPr>
        <w:pStyle w:val="Heading1"/>
        <w:spacing w:before="320" w:after="160"/>
      </w:pPr>
      <w:r>
        <w:rPr>
          <w:color w:val="0F4C81"/>
        </w:rPr>
        <w:t>1. Mathematical Loss Formulations &amp; Comparison</w:t>
      </w:r>
    </w:p>
    <w:p>
      <w:r>
        <w:rPr>
          <w:sz w:val="20"/>
        </w:rPr>
        <w:t>Super-resolution models behave dramatically differently depending on the objective function used during gradient descent optimization. Below is the exact loss mathematical formulation for each model:</w:t>
      </w:r>
    </w:p>
    <w:tbl>
      <w:tblPr>
        <w:tblW w:type="auto" w:w="0"/>
        <w:jc w:val="center"/>
        <w:tblLook w:firstColumn="1" w:firstRow="1" w:lastColumn="0" w:lastRow="0" w:noHBand="0" w:noVBand="1" w:val="04A0"/>
      </w:tblPr>
      <w:tblGrid>
        <w:gridCol w:w="2484"/>
        <w:gridCol w:w="2484"/>
        <w:gridCol w:w="2484"/>
        <w:gridCol w:w="2484"/>
      </w:tblGrid>
      <w:tr>
        <w:tc>
          <w:tcPr>
            <w:tcW w:type="dxa" w:w="1872"/>
            <w:vAlign w:val="center"/>
            <w:tcMar>
              <w:top w:w="120" w:type="dxa"/>
              <w:bottom w:w="120" w:type="dxa"/>
              <w:left w:w="160" w:type="dxa"/>
              <w:right w:w="160" w:type="dxa"/>
            </w:tcMar>
            <w:shd w:val="clear" w:color="auto" w:fill="0F4C81"/>
          </w:tcPr>
          <w:p>
            <w:pPr>
              <w:spacing w:before="40" w:after="40"/>
            </w:pPr>
            <w:r>
              <w:rPr>
                <w:b/>
                <w:color w:val="FFFFFF"/>
                <w:sz w:val="19"/>
              </w:rPr>
              <w:t>Model</w:t>
            </w:r>
          </w:p>
        </w:tc>
        <w:tc>
          <w:tcPr>
            <w:tcW w:type="dxa" w:w="2304"/>
            <w:vAlign w:val="center"/>
            <w:tcMar>
              <w:top w:w="120" w:type="dxa"/>
              <w:bottom w:w="120" w:type="dxa"/>
              <w:left w:w="160" w:type="dxa"/>
              <w:right w:w="160" w:type="dxa"/>
            </w:tcMar>
            <w:shd w:val="clear" w:color="auto" w:fill="0F4C81"/>
          </w:tcPr>
          <w:p>
            <w:pPr>
              <w:spacing w:before="40" w:after="40"/>
            </w:pPr>
            <w:r>
              <w:rPr>
                <w:b/>
                <w:color w:val="FFFFFF"/>
                <w:sz w:val="19"/>
              </w:rPr>
              <w:t>Loss Function Type</w:t>
            </w:r>
          </w:p>
        </w:tc>
        <w:tc>
          <w:tcPr>
            <w:tcW w:type="dxa" w:w="2592"/>
            <w:vAlign w:val="center"/>
            <w:tcMar>
              <w:top w:w="120" w:type="dxa"/>
              <w:bottom w:w="120" w:type="dxa"/>
              <w:left w:w="160" w:type="dxa"/>
              <w:right w:w="160" w:type="dxa"/>
            </w:tcMar>
            <w:shd w:val="clear" w:color="auto" w:fill="0F4C81"/>
          </w:tcPr>
          <w:p>
            <w:pPr>
              <w:spacing w:before="40" w:after="40"/>
            </w:pPr>
            <w:r>
              <w:rPr>
                <w:b/>
                <w:color w:val="FFFFFF"/>
                <w:sz w:val="19"/>
              </w:rPr>
              <w:t>Mathematical Formulation</w:t>
            </w:r>
          </w:p>
        </w:tc>
        <w:tc>
          <w:tcPr>
            <w:tcW w:type="dxa" w:w="3600"/>
            <w:vAlign w:val="center"/>
            <w:tcMar>
              <w:top w:w="120" w:type="dxa"/>
              <w:bottom w:w="120" w:type="dxa"/>
              <w:left w:w="160" w:type="dxa"/>
              <w:right w:w="160" w:type="dxa"/>
            </w:tcMar>
            <w:shd w:val="clear" w:color="auto" w:fill="0F4C81"/>
          </w:tcPr>
          <w:p>
            <w:pPr>
              <w:spacing w:before="40" w:after="40"/>
            </w:pPr>
            <w:r>
              <w:rPr>
                <w:b/>
                <w:color w:val="FFFFFF"/>
                <w:sz w:val="19"/>
              </w:rPr>
              <w:t>Optimization Behavior &amp; Artifact Profile</w:t>
            </w:r>
          </w:p>
        </w:tc>
      </w:tr>
      <w:tr>
        <w:tc>
          <w:tcPr>
            <w:tcW w:type="dxa" w:w="1872"/>
            <w:vAlign w:val="center"/>
            <w:tcMar>
              <w:top w:w="120" w:type="dxa"/>
              <w:bottom w:w="120" w:type="dxa"/>
              <w:left w:w="160" w:type="dxa"/>
              <w:right w:w="160" w:type="dxa"/>
            </w:tcMar>
            <w:shd w:val="clear" w:color="auto" w:fill="FFFFFF"/>
          </w:tcPr>
          <w:p>
            <w:pPr>
              <w:spacing w:before="40" w:after="40"/>
            </w:pPr>
            <w:r>
              <w:rPr>
                <w:color w:val="2C3E50"/>
                <w:sz w:val="18"/>
              </w:rPr>
              <w:t>ESPCN</w:t>
            </w:r>
          </w:p>
        </w:tc>
        <w:tc>
          <w:tcPr>
            <w:tcW w:type="dxa" w:w="2304"/>
            <w:vAlign w:val="center"/>
            <w:tcMar>
              <w:top w:w="120" w:type="dxa"/>
              <w:bottom w:w="120" w:type="dxa"/>
              <w:left w:w="160" w:type="dxa"/>
              <w:right w:w="160" w:type="dxa"/>
            </w:tcMar>
            <w:shd w:val="clear" w:color="auto" w:fill="FFFFFF"/>
          </w:tcPr>
          <w:p>
            <w:pPr>
              <w:spacing w:before="40" w:after="40"/>
            </w:pPr>
            <w:r>
              <w:rPr>
                <w:color w:val="2C3E50"/>
                <w:sz w:val="18"/>
              </w:rPr>
              <w:t>Mean Squared Error (L2 Loss)</w:t>
            </w:r>
          </w:p>
        </w:tc>
        <w:tc>
          <w:tcPr>
            <w:tcW w:type="dxa" w:w="2592"/>
            <w:vAlign w:val="center"/>
            <w:tcMar>
              <w:top w:w="120" w:type="dxa"/>
              <w:bottom w:w="120" w:type="dxa"/>
              <w:left w:w="160" w:type="dxa"/>
              <w:right w:w="160" w:type="dxa"/>
            </w:tcMar>
            <w:shd w:val="clear" w:color="auto" w:fill="FFFFFF"/>
          </w:tcPr>
          <w:p>
            <w:pPr>
              <w:spacing w:before="40" w:after="40"/>
            </w:pPr>
            <w:r>
              <w:rPr>
                <w:color w:val="2C3E50"/>
                <w:sz w:val="18"/>
              </w:rPr>
              <w:t>L_MSE = (1/N) * Σ (I_SR - I_HR)²</w:t>
            </w:r>
          </w:p>
        </w:tc>
        <w:tc>
          <w:tcPr>
            <w:tcW w:type="dxa" w:w="3600"/>
            <w:vAlign w:val="center"/>
            <w:tcMar>
              <w:top w:w="120" w:type="dxa"/>
              <w:bottom w:w="120" w:type="dxa"/>
              <w:left w:w="160" w:type="dxa"/>
              <w:right w:w="160" w:type="dxa"/>
            </w:tcMar>
            <w:shd w:val="clear" w:color="auto" w:fill="FFFFFF"/>
          </w:tcPr>
          <w:p>
            <w:pPr>
              <w:spacing w:before="40" w:after="40"/>
            </w:pPr>
            <w:r>
              <w:rPr>
                <w:color w:val="2C3E50"/>
                <w:sz w:val="18"/>
              </w:rPr>
              <w:t>Oversmoothing / Blurriness: Squares outlier errors. When uncertain of high-frequency textures, minimizing L2 produces the mathematical average (expected value) of all plausible textures, causing blurry edges.</w:t>
            </w:r>
          </w:p>
        </w:tc>
      </w:tr>
      <w:tr>
        <w:tc>
          <w:tcPr>
            <w:tcW w:type="dxa" w:w="1872"/>
            <w:vAlign w:val="center"/>
            <w:tcMar>
              <w:top w:w="120" w:type="dxa"/>
              <w:bottom w:w="120" w:type="dxa"/>
              <w:left w:w="160" w:type="dxa"/>
              <w:right w:w="160" w:type="dxa"/>
            </w:tcMar>
            <w:shd w:val="clear" w:color="auto" w:fill="F4F7F9"/>
          </w:tcPr>
          <w:p>
            <w:pPr>
              <w:spacing w:before="40" w:after="40"/>
            </w:pPr>
            <w:r>
              <w:rPr>
                <w:color w:val="2C3E50"/>
                <w:sz w:val="18"/>
              </w:rPr>
              <w:t>FSRCNN</w:t>
            </w:r>
          </w:p>
        </w:tc>
        <w:tc>
          <w:tcPr>
            <w:tcW w:type="dxa" w:w="2304"/>
            <w:vAlign w:val="center"/>
            <w:tcMar>
              <w:top w:w="120" w:type="dxa"/>
              <w:bottom w:w="120" w:type="dxa"/>
              <w:left w:w="160" w:type="dxa"/>
              <w:right w:w="160" w:type="dxa"/>
            </w:tcMar>
            <w:shd w:val="clear" w:color="auto" w:fill="F4F7F9"/>
          </w:tcPr>
          <w:p>
            <w:pPr>
              <w:spacing w:before="40" w:after="40"/>
            </w:pPr>
            <w:r>
              <w:rPr>
                <w:color w:val="2C3E50"/>
                <w:sz w:val="18"/>
              </w:rPr>
              <w:t>Mean Squared Error (L2 Loss)</w:t>
            </w:r>
          </w:p>
        </w:tc>
        <w:tc>
          <w:tcPr>
            <w:tcW w:type="dxa" w:w="2592"/>
            <w:vAlign w:val="center"/>
            <w:tcMar>
              <w:top w:w="120" w:type="dxa"/>
              <w:bottom w:w="120" w:type="dxa"/>
              <w:left w:w="160" w:type="dxa"/>
              <w:right w:w="160" w:type="dxa"/>
            </w:tcMar>
            <w:shd w:val="clear" w:color="auto" w:fill="F4F7F9"/>
          </w:tcPr>
          <w:p>
            <w:pPr>
              <w:spacing w:before="40" w:after="40"/>
            </w:pPr>
            <w:r>
              <w:rPr>
                <w:color w:val="2C3E50"/>
                <w:sz w:val="18"/>
              </w:rPr>
              <w:t>L_MSE = (1/N) * Σ (I_SR - I_HR)²</w:t>
            </w:r>
          </w:p>
        </w:tc>
        <w:tc>
          <w:tcPr>
            <w:tcW w:type="dxa" w:w="3600"/>
            <w:vAlign w:val="center"/>
            <w:tcMar>
              <w:top w:w="120" w:type="dxa"/>
              <w:bottom w:w="120" w:type="dxa"/>
              <w:left w:w="160" w:type="dxa"/>
              <w:right w:w="160" w:type="dxa"/>
            </w:tcMar>
            <w:shd w:val="clear" w:color="auto" w:fill="F4F7F9"/>
          </w:tcPr>
          <w:p>
            <w:pPr>
              <w:spacing w:before="40" w:after="40"/>
            </w:pPr>
            <w:r>
              <w:rPr>
                <w:color w:val="2C3E50"/>
                <w:sz w:val="18"/>
              </w:rPr>
              <w:t>Blurry Edges: Fast convergence on low frequencies, but suppresses sharp high-frequency gradients.</w:t>
            </w:r>
          </w:p>
        </w:tc>
      </w:tr>
      <w:tr>
        <w:tc>
          <w:tcPr>
            <w:tcW w:type="dxa" w:w="1872"/>
            <w:vAlign w:val="center"/>
            <w:tcMar>
              <w:top w:w="120" w:type="dxa"/>
              <w:bottom w:w="120" w:type="dxa"/>
              <w:left w:w="160" w:type="dxa"/>
              <w:right w:w="160" w:type="dxa"/>
            </w:tcMar>
            <w:shd w:val="clear" w:color="auto" w:fill="FFFFFF"/>
          </w:tcPr>
          <w:p>
            <w:pPr>
              <w:spacing w:before="40" w:after="40"/>
            </w:pPr>
            <w:r>
              <w:rPr>
                <w:color w:val="2C3E50"/>
                <w:sz w:val="18"/>
              </w:rPr>
              <w:t>EDSR</w:t>
            </w:r>
          </w:p>
        </w:tc>
        <w:tc>
          <w:tcPr>
            <w:tcW w:type="dxa" w:w="2304"/>
            <w:vAlign w:val="center"/>
            <w:tcMar>
              <w:top w:w="120" w:type="dxa"/>
              <w:bottom w:w="120" w:type="dxa"/>
              <w:left w:w="160" w:type="dxa"/>
              <w:right w:w="160" w:type="dxa"/>
            </w:tcMar>
            <w:shd w:val="clear" w:color="auto" w:fill="FFFFFF"/>
          </w:tcPr>
          <w:p>
            <w:pPr>
              <w:spacing w:before="40" w:after="40"/>
            </w:pPr>
            <w:r>
              <w:rPr>
                <w:color w:val="2C3E50"/>
                <w:sz w:val="18"/>
              </w:rPr>
              <w:t>Mean Absolute Error (L1 Loss)</w:t>
            </w:r>
          </w:p>
        </w:tc>
        <w:tc>
          <w:tcPr>
            <w:tcW w:type="dxa" w:w="2592"/>
            <w:vAlign w:val="center"/>
            <w:tcMar>
              <w:top w:w="120" w:type="dxa"/>
              <w:bottom w:w="120" w:type="dxa"/>
              <w:left w:w="160" w:type="dxa"/>
              <w:right w:w="160" w:type="dxa"/>
            </w:tcMar>
            <w:shd w:val="clear" w:color="auto" w:fill="FFFFFF"/>
          </w:tcPr>
          <w:p>
            <w:pPr>
              <w:spacing w:before="40" w:after="40"/>
            </w:pPr>
            <w:r>
              <w:rPr>
                <w:color w:val="2C3E50"/>
                <w:sz w:val="18"/>
              </w:rPr>
              <w:t>L_L1 = (1/N) * Σ |I_SR - I_HR|</w:t>
            </w:r>
          </w:p>
        </w:tc>
        <w:tc>
          <w:tcPr>
            <w:tcW w:type="dxa" w:w="3600"/>
            <w:vAlign w:val="center"/>
            <w:tcMar>
              <w:top w:w="120" w:type="dxa"/>
              <w:bottom w:w="120" w:type="dxa"/>
              <w:left w:w="160" w:type="dxa"/>
              <w:right w:w="160" w:type="dxa"/>
            </w:tcMar>
            <w:shd w:val="clear" w:color="auto" w:fill="FFFFFF"/>
          </w:tcPr>
          <w:p>
            <w:pPr>
              <w:spacing w:before="40" w:after="40"/>
            </w:pPr>
            <w:r>
              <w:rPr>
                <w:color w:val="2C3E50"/>
                <w:sz w:val="18"/>
              </w:rPr>
              <w:t>Sharper than L2: Penalizes errors linearly, preserving median color boundaries without Gaussian blurring. However, it lacks explicit directional edge derivative supervision.</w:t>
            </w:r>
          </w:p>
        </w:tc>
      </w:tr>
      <w:tr>
        <w:tc>
          <w:tcPr>
            <w:tcW w:type="dxa" w:w="1872"/>
            <w:vAlign w:val="center"/>
            <w:tcMar>
              <w:top w:w="120" w:type="dxa"/>
              <w:bottom w:w="120" w:type="dxa"/>
              <w:left w:w="160" w:type="dxa"/>
              <w:right w:w="160" w:type="dxa"/>
            </w:tcMar>
            <w:shd w:val="clear" w:color="auto" w:fill="F4F7F9"/>
          </w:tcPr>
          <w:p>
            <w:pPr>
              <w:spacing w:before="40" w:after="40"/>
            </w:pPr>
            <w:r>
              <w:rPr>
                <w:color w:val="2C3E50"/>
                <w:sz w:val="18"/>
              </w:rPr>
              <w:t>🎯 Sentinel2SRNet (Ours)</w:t>
            </w:r>
          </w:p>
        </w:tc>
        <w:tc>
          <w:tcPr>
            <w:tcW w:type="dxa" w:w="2304"/>
            <w:vAlign w:val="center"/>
            <w:tcMar>
              <w:top w:w="120" w:type="dxa"/>
              <w:bottom w:w="120" w:type="dxa"/>
              <w:left w:w="160" w:type="dxa"/>
              <w:right w:w="160" w:type="dxa"/>
            </w:tcMar>
            <w:shd w:val="clear" w:color="auto" w:fill="F4F7F9"/>
          </w:tcPr>
          <w:p>
            <w:pPr>
              <w:spacing w:before="40" w:after="40"/>
            </w:pPr>
            <w:r>
              <w:rPr>
                <w:color w:val="2C3E50"/>
                <w:sz w:val="18"/>
              </w:rPr>
              <w:t>Physics-Informed Composite Loss</w:t>
            </w:r>
          </w:p>
        </w:tc>
        <w:tc>
          <w:tcPr>
            <w:tcW w:type="dxa" w:w="2592"/>
            <w:vAlign w:val="center"/>
            <w:tcMar>
              <w:top w:w="120" w:type="dxa"/>
              <w:bottom w:w="120" w:type="dxa"/>
              <w:left w:w="160" w:type="dxa"/>
              <w:right w:w="160" w:type="dxa"/>
            </w:tcMar>
            <w:shd w:val="clear" w:color="auto" w:fill="F4F7F9"/>
          </w:tcPr>
          <w:p>
            <w:pPr>
              <w:spacing w:before="40" w:after="40"/>
            </w:pPr>
            <w:r>
              <w:rPr>
                <w:color w:val="2C3E50"/>
                <w:sz w:val="18"/>
              </w:rPr>
              <w:t>L_total = L_L1 + 2.5 * L_Sobel + 5.0 * L_Drift</w:t>
            </w:r>
          </w:p>
        </w:tc>
        <w:tc>
          <w:tcPr>
            <w:tcW w:type="dxa" w:w="3600"/>
            <w:vAlign w:val="center"/>
            <w:tcMar>
              <w:top w:w="120" w:type="dxa"/>
              <w:bottom w:w="120" w:type="dxa"/>
              <w:left w:w="160" w:type="dxa"/>
              <w:right w:w="160" w:type="dxa"/>
            </w:tcMar>
            <w:shd w:val="clear" w:color="auto" w:fill="F4F7F9"/>
          </w:tcPr>
          <w:p>
            <w:pPr>
              <w:spacing w:before="40" w:after="40"/>
            </w:pPr>
            <w:r>
              <w:rPr>
                <w:color w:val="2C3E50"/>
                <w:sz w:val="18"/>
              </w:rPr>
              <w:t>Edge-Enforced &amp; Radiometrically Stable:</w:t>
              <w:br/>
              <w:t>1. L_L1 for robust content fidelity.</w:t>
              <w:br/>
              <w:t>2. L_Sobel directly penalizes fuzzy building footprints and indistinct roads.</w:t>
              <w:br/>
              <w:t>3. L_Drift strictly enforces zero macro-brightness shift.</w:t>
            </w:r>
          </w:p>
        </w:tc>
      </w:tr>
    </w:tbl>
    <w:p>
      <w:pPr>
        <w:spacing w:before="240" w:after="80"/>
      </w:pPr>
      <w:r>
        <w:rPr>
          <w:b/>
          <w:sz w:val="21"/>
        </w:rPr>
        <w:t>The Three Components of Our Custom Loss Function:</w:t>
      </w:r>
    </w:p>
    <w:p>
      <w:pPr>
        <w:pStyle w:val="ListBullet"/>
        <w:spacing w:before="40" w:after="40"/>
      </w:pPr>
      <w:r>
        <w:rPr>
          <w:b/>
          <w:sz w:val="19"/>
        </w:rPr>
        <w:t>1. Content Fidelity Loss (L_L1):</w:t>
      </w:r>
      <w:r>
        <w:rPr>
          <w:sz w:val="19"/>
        </w:rPr>
        <w:t xml:space="preserve"> L_L1 = (1 / (H·W·C)) * Σ |I_SR(x, y, c) - I_HR_aligned(x, y, c)|. Computes direct voxel-wise absolute difference against the radiometrically matched VENµS ground truth.</w:t>
      </w:r>
    </w:p>
    <w:p>
      <w:pPr>
        <w:pStyle w:val="ListBullet"/>
        <w:spacing w:before="40" w:after="40"/>
      </w:pPr>
      <w:r>
        <w:rPr>
          <w:b/>
          <w:sz w:val="19"/>
        </w:rPr>
        <w:t>2. Sobel Edge Gradient Loss (L_Sobel):</w:t>
      </w:r>
      <w:r>
        <w:rPr>
          <w:sz w:val="19"/>
        </w:rPr>
        <w:t xml:space="preserve"> L_Sobel = ||S_x * I_SR - S_x * I_HR_aligned||_1 + ||S_y * I_SR - S_y * I_HR_aligned||_1. Where S_x and S_y are 3x3 horizontal and vertical Sobel convolution kernels. Weight = 2.5. This term forces convolutional kernels to align their high-frequency phase and gradient magnitude with real satellite road networks and parcel borders.</w:t>
      </w:r>
    </w:p>
    <w:p>
      <w:pPr>
        <w:pStyle w:val="ListBullet"/>
        <w:spacing w:before="40" w:after="40"/>
      </w:pPr>
      <w:r>
        <w:rPr>
          <w:b/>
          <w:sz w:val="19"/>
        </w:rPr>
        <w:t>3. Zero-Mean Radiometric Drift Penalty (L_Drift):</w:t>
      </w:r>
      <w:r>
        <w:rPr>
          <w:sz w:val="19"/>
        </w:rPr>
        <w:t xml:space="preserve"> L_Drift = (1/C) * Σ |E[I_SR(c)] - E[I_base(c)]|. Weight = 5.0. Prevents the network from learning sensor cross-calibration offsets or shifting overall solar reflectance.</w:t>
      </w:r>
    </w:p>
    <w:p>
      <w:pPr>
        <w:pStyle w:val="Heading1"/>
        <w:spacing w:before="360" w:after="160"/>
      </w:pPr>
      <w:r>
        <w:rPr>
          <w:color w:val="0F4C81"/>
        </w:rPr>
        <w:t>2. Quantitative Metric Comparison (Textual, Edge &amp; Spectral)</w:t>
      </w:r>
    </w:p>
    <w:p>
      <w:r>
        <w:rPr>
          <w:sz w:val="20"/>
        </w:rPr>
        <w:t>The benchmark below was computed across 8 independent Earth Observation test scenes from the SEN2VENµS dataset evaluated against authentic 5m VENµS ground truth:</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872"/>
            <w:vAlign w:val="center"/>
            <w:tcMar>
              <w:top w:w="120" w:type="dxa"/>
              <w:bottom w:w="120" w:type="dxa"/>
              <w:left w:w="160" w:type="dxa"/>
              <w:right w:w="160" w:type="dxa"/>
            </w:tcMar>
            <w:shd w:val="clear" w:color="auto" w:fill="0F4C81"/>
          </w:tcPr>
          <w:p>
            <w:pPr>
              <w:spacing w:before="40" w:after="40"/>
            </w:pPr>
            <w:r>
              <w:rPr>
                <w:b/>
                <w:color w:val="FFFFFF"/>
                <w:sz w:val="19"/>
              </w:rPr>
              <w:t>Metric Category</w:t>
            </w:r>
          </w:p>
        </w:tc>
        <w:tc>
          <w:tcPr>
            <w:tcW w:type="dxa" w:w="2160"/>
            <w:vAlign w:val="center"/>
            <w:tcMar>
              <w:top w:w="120" w:type="dxa"/>
              <w:bottom w:w="120" w:type="dxa"/>
              <w:left w:w="160" w:type="dxa"/>
              <w:right w:w="160" w:type="dxa"/>
            </w:tcMar>
            <w:shd w:val="clear" w:color="auto" w:fill="0F4C81"/>
          </w:tcPr>
          <w:p>
            <w:pPr>
              <w:spacing w:before="40" w:after="40"/>
            </w:pPr>
            <w:r>
              <w:rPr>
                <w:b/>
                <w:color w:val="FFFFFF"/>
                <w:sz w:val="19"/>
              </w:rPr>
              <w:t>Evaluation Metric</w:t>
            </w:r>
          </w:p>
        </w:tc>
        <w:tc>
          <w:tcPr>
            <w:tcW w:type="dxa" w:w="1080"/>
            <w:vAlign w:val="center"/>
            <w:tcMar>
              <w:top w:w="120" w:type="dxa"/>
              <w:bottom w:w="120" w:type="dxa"/>
              <w:left w:w="160" w:type="dxa"/>
              <w:right w:w="160" w:type="dxa"/>
            </w:tcMar>
            <w:shd w:val="clear" w:color="auto" w:fill="0F4C81"/>
          </w:tcPr>
          <w:p>
            <w:pPr>
              <w:spacing w:before="40" w:after="40"/>
            </w:pPr>
            <w:r>
              <w:rPr>
                <w:b/>
                <w:color w:val="FFFFFF"/>
                <w:sz w:val="19"/>
              </w:rPr>
              <w:t>Bicubic (Base)</w:t>
            </w:r>
          </w:p>
        </w:tc>
        <w:tc>
          <w:tcPr>
            <w:tcW w:type="dxa" w:w="936"/>
            <w:vAlign w:val="center"/>
            <w:tcMar>
              <w:top w:w="120" w:type="dxa"/>
              <w:bottom w:w="120" w:type="dxa"/>
              <w:left w:w="160" w:type="dxa"/>
              <w:right w:w="160" w:type="dxa"/>
            </w:tcMar>
            <w:shd w:val="clear" w:color="auto" w:fill="0F4C81"/>
          </w:tcPr>
          <w:p>
            <w:pPr>
              <w:spacing w:before="40" w:after="40"/>
            </w:pPr>
            <w:r>
              <w:rPr>
                <w:b/>
                <w:color w:val="FFFFFF"/>
                <w:sz w:val="19"/>
              </w:rPr>
              <w:t>ESPCN</w:t>
            </w:r>
          </w:p>
        </w:tc>
        <w:tc>
          <w:tcPr>
            <w:tcW w:type="dxa" w:w="936"/>
            <w:vAlign w:val="center"/>
            <w:tcMar>
              <w:top w:w="120" w:type="dxa"/>
              <w:bottom w:w="120" w:type="dxa"/>
              <w:left w:w="160" w:type="dxa"/>
              <w:right w:w="160" w:type="dxa"/>
            </w:tcMar>
            <w:shd w:val="clear" w:color="auto" w:fill="0F4C81"/>
          </w:tcPr>
          <w:p>
            <w:pPr>
              <w:spacing w:before="40" w:after="40"/>
            </w:pPr>
            <w:r>
              <w:rPr>
                <w:b/>
                <w:color w:val="FFFFFF"/>
                <w:sz w:val="19"/>
              </w:rPr>
              <w:t>FSRCNN</w:t>
            </w:r>
          </w:p>
        </w:tc>
        <w:tc>
          <w:tcPr>
            <w:tcW w:type="dxa" w:w="1152"/>
            <w:vAlign w:val="center"/>
            <w:tcMar>
              <w:top w:w="120" w:type="dxa"/>
              <w:bottom w:w="120" w:type="dxa"/>
              <w:left w:w="160" w:type="dxa"/>
              <w:right w:w="160" w:type="dxa"/>
            </w:tcMar>
            <w:shd w:val="clear" w:color="auto" w:fill="0F4C81"/>
          </w:tcPr>
          <w:p>
            <w:pPr>
              <w:spacing w:before="40" w:after="40"/>
            </w:pPr>
            <w:r>
              <w:rPr>
                <w:b/>
                <w:color w:val="FFFFFF"/>
                <w:sz w:val="19"/>
              </w:rPr>
              <w:t>EDSR</w:t>
            </w:r>
          </w:p>
        </w:tc>
        <w:tc>
          <w:tcPr>
            <w:tcW w:type="dxa" w:w="1440"/>
            <w:vAlign w:val="center"/>
            <w:tcMar>
              <w:top w:w="120" w:type="dxa"/>
              <w:bottom w:w="120" w:type="dxa"/>
              <w:left w:w="160" w:type="dxa"/>
              <w:right w:w="160" w:type="dxa"/>
            </w:tcMar>
            <w:shd w:val="clear" w:color="auto" w:fill="0F4C81"/>
          </w:tcPr>
          <w:p>
            <w:pPr>
              <w:spacing w:before="40" w:after="40"/>
            </w:pPr>
            <w:r>
              <w:rPr>
                <w:b/>
                <w:color w:val="FFFFFF"/>
                <w:sz w:val="19"/>
              </w:rPr>
              <w:t>🎯 Sentinel2SRNet</w:t>
            </w:r>
          </w:p>
        </w:tc>
        <w:tc>
          <w:tcPr>
            <w:tcW w:type="dxa" w:w="1440"/>
            <w:vAlign w:val="center"/>
            <w:tcMar>
              <w:top w:w="120" w:type="dxa"/>
              <w:bottom w:w="120" w:type="dxa"/>
              <w:left w:w="160" w:type="dxa"/>
              <w:right w:w="160" w:type="dxa"/>
            </w:tcMar>
            <w:shd w:val="clear" w:color="auto" w:fill="0F4C81"/>
          </w:tcPr>
          <w:p>
            <w:pPr>
              <w:spacing w:before="40" w:after="40"/>
            </w:pPr>
            <w:r>
              <w:rPr>
                <w:b/>
                <w:color w:val="FFFFFF"/>
                <w:sz w:val="19"/>
              </w:rPr>
              <w:t>Sentinel2SRNet + TTA</w:t>
            </w:r>
          </w:p>
        </w:tc>
      </w:tr>
      <w:tr>
        <w:tc>
          <w:tcPr>
            <w:tcW w:type="dxa" w:w="1872"/>
            <w:vAlign w:val="center"/>
            <w:tcMar>
              <w:top w:w="120" w:type="dxa"/>
              <w:bottom w:w="120" w:type="dxa"/>
              <w:left w:w="160" w:type="dxa"/>
              <w:right w:w="160" w:type="dxa"/>
            </w:tcMar>
            <w:shd w:val="clear" w:color="auto" w:fill="FFFFFF"/>
          </w:tcPr>
          <w:p>
            <w:pPr>
              <w:spacing w:before="40" w:after="40"/>
            </w:pPr>
            <w:r>
              <w:rPr>
                <w:color w:val="2C3E50"/>
                <w:sz w:val="18"/>
              </w:rPr>
              <w:t>Computational</w:t>
            </w:r>
          </w:p>
        </w:tc>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Trainable Parameters</w:t>
            </w:r>
          </w:p>
        </w:tc>
        <w:tc>
          <w:tcPr>
            <w:tcW w:type="dxa" w:w="1080"/>
            <w:vAlign w:val="center"/>
            <w:tcMar>
              <w:top w:w="120" w:type="dxa"/>
              <w:bottom w:w="120" w:type="dxa"/>
              <w:left w:w="160" w:type="dxa"/>
              <w:right w:w="160" w:type="dxa"/>
            </w:tcMar>
            <w:shd w:val="clear" w:color="auto" w:fill="FFFFFF"/>
          </w:tcPr>
          <w:p>
            <w:pPr>
              <w:spacing w:before="40" w:after="40"/>
            </w:pPr>
            <w:r>
              <w:rPr>
                <w:color w:val="2C3E50"/>
                <w:sz w:val="18"/>
              </w:rPr>
              <w:t>0</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21,691</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12,464</w:t>
            </w:r>
          </w:p>
        </w:tc>
        <w:tc>
          <w:tcPr>
            <w:tcW w:type="dxa" w:w="1152"/>
            <w:vAlign w:val="center"/>
            <w:tcMar>
              <w:top w:w="120" w:type="dxa"/>
              <w:bottom w:w="120" w:type="dxa"/>
              <w:left w:w="160" w:type="dxa"/>
              <w:right w:w="160" w:type="dxa"/>
            </w:tcMar>
            <w:shd w:val="clear" w:color="auto" w:fill="FFFFFF"/>
          </w:tcPr>
          <w:p>
            <w:pPr>
              <w:spacing w:before="40" w:after="40"/>
            </w:pPr>
            <w:r>
              <w:rPr>
                <w:color w:val="2C3E50"/>
                <w:sz w:val="18"/>
              </w:rPr>
              <w:t>43,090,000</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193,601</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193,601</w:t>
            </w:r>
          </w:p>
        </w:tc>
      </w:tr>
      <w:tr>
        <w:tc>
          <w:tcPr>
            <w:tcW w:type="dxa" w:w="1872"/>
            <w:vAlign w:val="center"/>
            <w:tcMar>
              <w:top w:w="120" w:type="dxa"/>
              <w:bottom w:w="120" w:type="dxa"/>
              <w:left w:w="160" w:type="dxa"/>
              <w:right w:w="160" w:type="dxa"/>
            </w:tcMar>
            <w:shd w:val="clear" w:color="auto" w:fill="F4F7F9"/>
          </w:tcPr>
          <w:p>
            <w:pPr>
              <w:spacing w:before="40" w:after="40"/>
            </w:pPr>
            <w:r>
              <w:rPr>
                <w:color w:val="2C3E50"/>
                <w:sz w:val="18"/>
              </w:rPr>
              <w:t>Computational</w:t>
            </w:r>
          </w:p>
        </w:tc>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Model Disk Size</w:t>
            </w:r>
          </w:p>
        </w:tc>
        <w:tc>
          <w:tcPr>
            <w:tcW w:type="dxa" w:w="1080"/>
            <w:vAlign w:val="center"/>
            <w:tcMar>
              <w:top w:w="120" w:type="dxa"/>
              <w:bottom w:w="120" w:type="dxa"/>
              <w:left w:w="160" w:type="dxa"/>
              <w:right w:w="160" w:type="dxa"/>
            </w:tcMar>
            <w:shd w:val="clear" w:color="auto" w:fill="F4F7F9"/>
          </w:tcPr>
          <w:p>
            <w:pPr>
              <w:spacing w:before="40" w:after="40"/>
            </w:pPr>
            <w:r>
              <w:rPr>
                <w:color w:val="2C3E50"/>
                <w:sz w:val="18"/>
              </w:rPr>
              <w:t>—</w:t>
            </w:r>
          </w:p>
        </w:tc>
        <w:tc>
          <w:tcPr>
            <w:tcW w:type="dxa" w:w="936"/>
            <w:vAlign w:val="center"/>
            <w:tcMar>
              <w:top w:w="120" w:type="dxa"/>
              <w:bottom w:w="120" w:type="dxa"/>
              <w:left w:w="160" w:type="dxa"/>
              <w:right w:w="160" w:type="dxa"/>
            </w:tcMar>
            <w:shd w:val="clear" w:color="auto" w:fill="F4F7F9"/>
          </w:tcPr>
          <w:p>
            <w:pPr>
              <w:spacing w:before="40" w:after="40"/>
            </w:pPr>
            <w:r>
              <w:rPr>
                <w:color w:val="2C3E50"/>
                <w:sz w:val="18"/>
              </w:rPr>
              <w:t>84.4 KB</w:t>
            </w:r>
          </w:p>
        </w:tc>
        <w:tc>
          <w:tcPr>
            <w:tcW w:type="dxa" w:w="936"/>
            <w:vAlign w:val="center"/>
            <w:tcMar>
              <w:top w:w="120" w:type="dxa"/>
              <w:bottom w:w="120" w:type="dxa"/>
              <w:left w:w="160" w:type="dxa"/>
              <w:right w:w="160" w:type="dxa"/>
            </w:tcMar>
            <w:shd w:val="clear" w:color="auto" w:fill="F4F7F9"/>
          </w:tcPr>
          <w:p>
            <w:pPr>
              <w:spacing w:before="40" w:after="40"/>
            </w:pPr>
            <w:r>
              <w:rPr>
                <w:color w:val="2C3E50"/>
                <w:sz w:val="18"/>
              </w:rPr>
              <w:t>38.1 KB</w:t>
            </w:r>
          </w:p>
        </w:tc>
        <w:tc>
          <w:tcPr>
            <w:tcW w:type="dxa" w:w="1152"/>
            <w:vAlign w:val="center"/>
            <w:tcMar>
              <w:top w:w="120" w:type="dxa"/>
              <w:bottom w:w="120" w:type="dxa"/>
              <w:left w:w="160" w:type="dxa"/>
              <w:right w:w="160" w:type="dxa"/>
            </w:tcMar>
            <w:shd w:val="clear" w:color="auto" w:fill="F4F7F9"/>
          </w:tcPr>
          <w:p>
            <w:pPr>
              <w:spacing w:before="40" w:after="40"/>
            </w:pPr>
            <w:r>
              <w:rPr>
                <w:color w:val="2C3E50"/>
                <w:sz w:val="18"/>
              </w:rPr>
              <w:t>37,588 KB</w:t>
            </w:r>
          </w:p>
        </w:tc>
        <w:tc>
          <w:tcPr>
            <w:tcW w:type="dxa" w:w="1440"/>
            <w:vAlign w:val="center"/>
            <w:tcMar>
              <w:top w:w="120" w:type="dxa"/>
              <w:bottom w:w="120" w:type="dxa"/>
              <w:left w:w="160" w:type="dxa"/>
              <w:right w:w="160" w:type="dxa"/>
            </w:tcMar>
            <w:shd w:val="clear" w:color="auto" w:fill="F4F7F9"/>
          </w:tcPr>
          <w:p>
            <w:pPr>
              <w:spacing w:before="40" w:after="40"/>
            </w:pPr>
            <w:r>
              <w:rPr>
                <w:color w:val="2C3E50"/>
                <w:sz w:val="18"/>
              </w:rPr>
              <w:t>765.5 KB</w:t>
            </w:r>
          </w:p>
        </w:tc>
        <w:tc>
          <w:tcPr>
            <w:tcW w:type="dxa" w:w="1440"/>
            <w:vAlign w:val="center"/>
            <w:tcMar>
              <w:top w:w="120" w:type="dxa"/>
              <w:bottom w:w="120" w:type="dxa"/>
              <w:left w:w="160" w:type="dxa"/>
              <w:right w:w="160" w:type="dxa"/>
            </w:tcMar>
            <w:shd w:val="clear" w:color="auto" w:fill="F4F7F9"/>
          </w:tcPr>
          <w:p>
            <w:pPr>
              <w:spacing w:before="40" w:after="40"/>
            </w:pPr>
            <w:r>
              <w:rPr>
                <w:color w:val="2C3E50"/>
                <w:sz w:val="18"/>
              </w:rPr>
              <w:t>765.5 KB</w:t>
            </w:r>
          </w:p>
        </w:tc>
      </w:tr>
      <w:tr>
        <w:tc>
          <w:tcPr>
            <w:tcW w:type="dxa" w:w="1872"/>
            <w:vAlign w:val="center"/>
            <w:tcMar>
              <w:top w:w="120" w:type="dxa"/>
              <w:bottom w:w="120" w:type="dxa"/>
              <w:left w:w="160" w:type="dxa"/>
              <w:right w:w="160" w:type="dxa"/>
            </w:tcMar>
            <w:shd w:val="clear" w:color="auto" w:fill="FFFFFF"/>
          </w:tcPr>
          <w:p>
            <w:pPr>
              <w:spacing w:before="40" w:after="40"/>
            </w:pPr>
            <w:r>
              <w:rPr>
                <w:color w:val="2C3E50"/>
                <w:sz w:val="18"/>
              </w:rPr>
              <w:t>Computational</w:t>
            </w:r>
          </w:p>
        </w:tc>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CPU Inference Time</w:t>
            </w:r>
          </w:p>
        </w:tc>
        <w:tc>
          <w:tcPr>
            <w:tcW w:type="dxa" w:w="1080"/>
            <w:vAlign w:val="center"/>
            <w:tcMar>
              <w:top w:w="120" w:type="dxa"/>
              <w:bottom w:w="120" w:type="dxa"/>
              <w:left w:w="160" w:type="dxa"/>
              <w:right w:w="160" w:type="dxa"/>
            </w:tcMar>
            <w:shd w:val="clear" w:color="auto" w:fill="FFFFFF"/>
          </w:tcPr>
          <w:p>
            <w:pPr>
              <w:spacing w:before="40" w:after="40"/>
            </w:pPr>
            <w:r>
              <w:rPr>
                <w:color w:val="2C3E50"/>
                <w:sz w:val="18"/>
              </w:rPr>
              <w:t>0.0 ms</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9.6 ms</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12.0 ms</w:t>
            </w:r>
          </w:p>
        </w:tc>
        <w:tc>
          <w:tcPr>
            <w:tcW w:type="dxa" w:w="1152"/>
            <w:vAlign w:val="center"/>
            <w:tcMar>
              <w:top w:w="120" w:type="dxa"/>
              <w:bottom w:w="120" w:type="dxa"/>
              <w:left w:w="160" w:type="dxa"/>
              <w:right w:w="160" w:type="dxa"/>
            </w:tcMar>
            <w:shd w:val="clear" w:color="auto" w:fill="FFFFFF"/>
          </w:tcPr>
          <w:p>
            <w:pPr>
              <w:spacing w:before="40" w:after="40"/>
            </w:pPr>
            <w:r>
              <w:rPr>
                <w:color w:val="2C3E50"/>
                <w:sz w:val="18"/>
              </w:rPr>
              <w:t>2,668.7 ms</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38.3 ms</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291.5 ms</w:t>
            </w:r>
          </w:p>
        </w:tc>
      </w:tr>
      <w:tr>
        <w:tc>
          <w:tcPr>
            <w:tcW w:type="dxa" w:w="1872"/>
            <w:vAlign w:val="center"/>
            <w:tcMar>
              <w:top w:w="120" w:type="dxa"/>
              <w:bottom w:w="120" w:type="dxa"/>
              <w:left w:w="160" w:type="dxa"/>
              <w:right w:w="160" w:type="dxa"/>
            </w:tcMar>
            <w:shd w:val="clear" w:color="auto" w:fill="F4F7F9"/>
          </w:tcPr>
          <w:p>
            <w:pPr>
              <w:spacing w:before="40" w:after="40"/>
            </w:pPr>
            <w:r>
              <w:rPr>
                <w:color w:val="2C3E50"/>
                <w:sz w:val="18"/>
              </w:rPr>
              <w:t>Textual / Fidelity</w:t>
            </w:r>
          </w:p>
        </w:tc>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PSNR (dB) ↑</w:t>
            </w:r>
          </w:p>
        </w:tc>
        <w:tc>
          <w:tcPr>
            <w:tcW w:type="dxa" w:w="1080"/>
            <w:vAlign w:val="center"/>
            <w:tcMar>
              <w:top w:w="120" w:type="dxa"/>
              <w:bottom w:w="120" w:type="dxa"/>
              <w:left w:w="160" w:type="dxa"/>
              <w:right w:w="160" w:type="dxa"/>
            </w:tcMar>
            <w:shd w:val="clear" w:color="auto" w:fill="F4F7F9"/>
          </w:tcPr>
          <w:p>
            <w:pPr>
              <w:spacing w:before="40" w:after="40"/>
            </w:pPr>
            <w:r>
              <w:rPr>
                <w:color w:val="2C3E50"/>
                <w:sz w:val="18"/>
              </w:rPr>
              <w:t>24.12 dB</w:t>
            </w:r>
          </w:p>
        </w:tc>
        <w:tc>
          <w:tcPr>
            <w:tcW w:type="dxa" w:w="936"/>
            <w:vAlign w:val="center"/>
            <w:tcMar>
              <w:top w:w="120" w:type="dxa"/>
              <w:bottom w:w="120" w:type="dxa"/>
              <w:left w:w="160" w:type="dxa"/>
              <w:right w:w="160" w:type="dxa"/>
            </w:tcMar>
            <w:shd w:val="clear" w:color="auto" w:fill="F4F7F9"/>
          </w:tcPr>
          <w:p>
            <w:pPr>
              <w:spacing w:before="40" w:after="40"/>
            </w:pPr>
            <w:r>
              <w:rPr>
                <w:color w:val="2C3E50"/>
                <w:sz w:val="18"/>
              </w:rPr>
              <w:t>24.43 dB</w:t>
            </w:r>
          </w:p>
        </w:tc>
        <w:tc>
          <w:tcPr>
            <w:tcW w:type="dxa" w:w="936"/>
            <w:vAlign w:val="center"/>
            <w:tcMar>
              <w:top w:w="120" w:type="dxa"/>
              <w:bottom w:w="120" w:type="dxa"/>
              <w:left w:w="160" w:type="dxa"/>
              <w:right w:w="160" w:type="dxa"/>
            </w:tcMar>
            <w:shd w:val="clear" w:color="auto" w:fill="F4F7F9"/>
          </w:tcPr>
          <w:p>
            <w:pPr>
              <w:spacing w:before="40" w:after="40"/>
            </w:pPr>
            <w:r>
              <w:rPr>
                <w:color w:val="2C3E50"/>
                <w:sz w:val="18"/>
              </w:rPr>
              <w:t>24.48 dB</w:t>
            </w:r>
          </w:p>
        </w:tc>
        <w:tc>
          <w:tcPr>
            <w:tcW w:type="dxa" w:w="1152"/>
            <w:vAlign w:val="center"/>
            <w:tcMar>
              <w:top w:w="120" w:type="dxa"/>
              <w:bottom w:w="120" w:type="dxa"/>
              <w:left w:w="160" w:type="dxa"/>
              <w:right w:w="160" w:type="dxa"/>
            </w:tcMar>
            <w:shd w:val="clear" w:color="auto" w:fill="F4F7F9"/>
          </w:tcPr>
          <w:p>
            <w:pPr>
              <w:spacing w:before="40" w:after="40"/>
            </w:pPr>
            <w:r>
              <w:rPr>
                <w:color w:val="2C3E50"/>
                <w:sz w:val="18"/>
              </w:rPr>
              <w:t>24.60 dB</w:t>
            </w:r>
          </w:p>
        </w:tc>
        <w:tc>
          <w:tcPr>
            <w:tcW w:type="dxa" w:w="1440"/>
            <w:vAlign w:val="center"/>
            <w:tcMar>
              <w:top w:w="120" w:type="dxa"/>
              <w:bottom w:w="120" w:type="dxa"/>
              <w:left w:w="160" w:type="dxa"/>
              <w:right w:w="160" w:type="dxa"/>
            </w:tcMar>
            <w:shd w:val="clear" w:color="auto" w:fill="F4F7F9"/>
          </w:tcPr>
          <w:p>
            <w:pPr>
              <w:spacing w:before="40" w:after="40"/>
            </w:pPr>
            <w:r>
              <w:rPr>
                <w:color w:val="2C3E50"/>
                <w:sz w:val="18"/>
              </w:rPr>
              <w:t>23.20 dB</w:t>
            </w:r>
          </w:p>
        </w:tc>
        <w:tc>
          <w:tcPr>
            <w:tcW w:type="dxa" w:w="1440"/>
            <w:vAlign w:val="center"/>
            <w:tcMar>
              <w:top w:w="120" w:type="dxa"/>
              <w:bottom w:w="120" w:type="dxa"/>
              <w:left w:w="160" w:type="dxa"/>
              <w:right w:w="160" w:type="dxa"/>
            </w:tcMar>
            <w:shd w:val="clear" w:color="auto" w:fill="F4F7F9"/>
          </w:tcPr>
          <w:p>
            <w:pPr>
              <w:spacing w:before="40" w:after="40"/>
            </w:pPr>
            <w:r>
              <w:rPr>
                <w:color w:val="2C3E50"/>
                <w:sz w:val="18"/>
              </w:rPr>
              <w:t>23.24 dB</w:t>
            </w:r>
          </w:p>
        </w:tc>
      </w:tr>
      <w:tr>
        <w:tc>
          <w:tcPr>
            <w:tcW w:type="dxa" w:w="1872"/>
            <w:vAlign w:val="center"/>
            <w:tcMar>
              <w:top w:w="120" w:type="dxa"/>
              <w:bottom w:w="120" w:type="dxa"/>
              <w:left w:w="160" w:type="dxa"/>
              <w:right w:w="160" w:type="dxa"/>
            </w:tcMar>
            <w:shd w:val="clear" w:color="auto" w:fill="FFFFFF"/>
          </w:tcPr>
          <w:p>
            <w:pPr>
              <w:spacing w:before="40" w:after="40"/>
            </w:pPr>
            <w:r>
              <w:rPr>
                <w:color w:val="2C3E50"/>
                <w:sz w:val="18"/>
              </w:rPr>
              <w:t>Textual / Fidelity</w:t>
            </w:r>
          </w:p>
        </w:tc>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SSIM (Structure) ↑</w:t>
            </w:r>
          </w:p>
        </w:tc>
        <w:tc>
          <w:tcPr>
            <w:tcW w:type="dxa" w:w="1080"/>
            <w:vAlign w:val="center"/>
            <w:tcMar>
              <w:top w:w="120" w:type="dxa"/>
              <w:bottom w:w="120" w:type="dxa"/>
              <w:left w:w="160" w:type="dxa"/>
              <w:right w:w="160" w:type="dxa"/>
            </w:tcMar>
            <w:shd w:val="clear" w:color="auto" w:fill="FFFFFF"/>
          </w:tcPr>
          <w:p>
            <w:pPr>
              <w:spacing w:before="40" w:after="40"/>
            </w:pPr>
            <w:r>
              <w:rPr>
                <w:color w:val="2C3E50"/>
                <w:sz w:val="18"/>
              </w:rPr>
              <w:t>0.6601</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0.6934</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0.6956</w:t>
            </w:r>
          </w:p>
        </w:tc>
        <w:tc>
          <w:tcPr>
            <w:tcW w:type="dxa" w:w="1152"/>
            <w:vAlign w:val="center"/>
            <w:tcMar>
              <w:top w:w="120" w:type="dxa"/>
              <w:bottom w:w="120" w:type="dxa"/>
              <w:left w:w="160" w:type="dxa"/>
              <w:right w:w="160" w:type="dxa"/>
            </w:tcMar>
            <w:shd w:val="clear" w:color="auto" w:fill="FFFFFF"/>
          </w:tcPr>
          <w:p>
            <w:pPr>
              <w:spacing w:before="40" w:after="40"/>
            </w:pPr>
            <w:r>
              <w:rPr>
                <w:color w:val="2C3E50"/>
                <w:sz w:val="18"/>
              </w:rPr>
              <w:t>0.6716</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0.6390</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0.6502</w:t>
            </w:r>
          </w:p>
        </w:tc>
      </w:tr>
      <w:tr>
        <w:tc>
          <w:tcPr>
            <w:tcW w:type="dxa" w:w="1872"/>
            <w:vAlign w:val="center"/>
            <w:tcMar>
              <w:top w:w="120" w:type="dxa"/>
              <w:bottom w:w="120" w:type="dxa"/>
              <w:left w:w="160" w:type="dxa"/>
              <w:right w:w="160" w:type="dxa"/>
            </w:tcMar>
            <w:shd w:val="clear" w:color="auto" w:fill="F4F7F9"/>
          </w:tcPr>
          <w:p>
            <w:pPr>
              <w:spacing w:before="40" w:after="40"/>
            </w:pPr>
            <w:r>
              <w:rPr>
                <w:color w:val="2C3E50"/>
                <w:sz w:val="18"/>
              </w:rPr>
              <w:t>Textual / Fidelity</w:t>
            </w:r>
          </w:p>
        </w:tc>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MAE (Pixel Error) ↓</w:t>
            </w:r>
          </w:p>
        </w:tc>
        <w:tc>
          <w:tcPr>
            <w:tcW w:type="dxa" w:w="1080"/>
            <w:vAlign w:val="center"/>
            <w:tcMar>
              <w:top w:w="120" w:type="dxa"/>
              <w:bottom w:w="120" w:type="dxa"/>
              <w:left w:w="160" w:type="dxa"/>
              <w:right w:w="160" w:type="dxa"/>
            </w:tcMar>
            <w:shd w:val="clear" w:color="auto" w:fill="F4F7F9"/>
          </w:tcPr>
          <w:p>
            <w:pPr>
              <w:spacing w:before="40" w:after="40"/>
            </w:pPr>
            <w:r>
              <w:rPr>
                <w:color w:val="2C3E50"/>
                <w:sz w:val="18"/>
              </w:rPr>
              <w:t>0.0458</w:t>
            </w:r>
          </w:p>
        </w:tc>
        <w:tc>
          <w:tcPr>
            <w:tcW w:type="dxa" w:w="936"/>
            <w:vAlign w:val="center"/>
            <w:tcMar>
              <w:top w:w="120" w:type="dxa"/>
              <w:bottom w:w="120" w:type="dxa"/>
              <w:left w:w="160" w:type="dxa"/>
              <w:right w:w="160" w:type="dxa"/>
            </w:tcMar>
            <w:shd w:val="clear" w:color="auto" w:fill="F4F7F9"/>
          </w:tcPr>
          <w:p>
            <w:pPr>
              <w:spacing w:before="40" w:after="40"/>
            </w:pPr>
            <w:r>
              <w:rPr>
                <w:color w:val="2C3E50"/>
                <w:sz w:val="18"/>
              </w:rPr>
              <w:t>0.0443</w:t>
            </w:r>
          </w:p>
        </w:tc>
        <w:tc>
          <w:tcPr>
            <w:tcW w:type="dxa" w:w="936"/>
            <w:vAlign w:val="center"/>
            <w:tcMar>
              <w:top w:w="120" w:type="dxa"/>
              <w:bottom w:w="120" w:type="dxa"/>
              <w:left w:w="160" w:type="dxa"/>
              <w:right w:w="160" w:type="dxa"/>
            </w:tcMar>
            <w:shd w:val="clear" w:color="auto" w:fill="F4F7F9"/>
          </w:tcPr>
          <w:p>
            <w:pPr>
              <w:spacing w:before="40" w:after="40"/>
            </w:pPr>
            <w:r>
              <w:rPr>
                <w:color w:val="2C3E50"/>
                <w:sz w:val="18"/>
              </w:rPr>
              <w:t>0.0441</w:t>
            </w:r>
          </w:p>
        </w:tc>
        <w:tc>
          <w:tcPr>
            <w:tcW w:type="dxa" w:w="1152"/>
            <w:vAlign w:val="center"/>
            <w:tcMar>
              <w:top w:w="120" w:type="dxa"/>
              <w:bottom w:w="120" w:type="dxa"/>
              <w:left w:w="160" w:type="dxa"/>
              <w:right w:w="160" w:type="dxa"/>
            </w:tcMar>
            <w:shd w:val="clear" w:color="auto" w:fill="F4F7F9"/>
          </w:tcPr>
          <w:p>
            <w:pPr>
              <w:spacing w:before="40" w:after="40"/>
            </w:pPr>
            <w:r>
              <w:rPr>
                <w:color w:val="2C3E50"/>
                <w:sz w:val="18"/>
              </w:rPr>
              <w:t>0.0440</w:t>
            </w:r>
          </w:p>
        </w:tc>
        <w:tc>
          <w:tcPr>
            <w:tcW w:type="dxa" w:w="1440"/>
            <w:vAlign w:val="center"/>
            <w:tcMar>
              <w:top w:w="120" w:type="dxa"/>
              <w:bottom w:w="120" w:type="dxa"/>
              <w:left w:w="160" w:type="dxa"/>
              <w:right w:w="160" w:type="dxa"/>
            </w:tcMar>
            <w:shd w:val="clear" w:color="auto" w:fill="F4F7F9"/>
          </w:tcPr>
          <w:p>
            <w:pPr>
              <w:spacing w:before="40" w:after="40"/>
            </w:pPr>
            <w:r>
              <w:rPr>
                <w:color w:val="2C3E50"/>
                <w:sz w:val="18"/>
              </w:rPr>
              <w:t>0.0488</w:t>
            </w:r>
          </w:p>
        </w:tc>
        <w:tc>
          <w:tcPr>
            <w:tcW w:type="dxa" w:w="1440"/>
            <w:vAlign w:val="center"/>
            <w:tcMar>
              <w:top w:w="120" w:type="dxa"/>
              <w:bottom w:w="120" w:type="dxa"/>
              <w:left w:w="160" w:type="dxa"/>
              <w:right w:w="160" w:type="dxa"/>
            </w:tcMar>
            <w:shd w:val="clear" w:color="auto" w:fill="F4F7F9"/>
          </w:tcPr>
          <w:p>
            <w:pPr>
              <w:spacing w:before="40" w:after="40"/>
            </w:pPr>
            <w:r>
              <w:rPr>
                <w:color w:val="2C3E50"/>
                <w:sz w:val="18"/>
              </w:rPr>
              <w:t>0.0487</w:t>
            </w:r>
          </w:p>
        </w:tc>
      </w:tr>
      <w:tr>
        <w:tc>
          <w:tcPr>
            <w:tcW w:type="dxa" w:w="1872"/>
            <w:vAlign w:val="center"/>
            <w:tcMar>
              <w:top w:w="120" w:type="dxa"/>
              <w:bottom w:w="120" w:type="dxa"/>
              <w:left w:w="160" w:type="dxa"/>
              <w:right w:w="160" w:type="dxa"/>
            </w:tcMar>
            <w:shd w:val="clear" w:color="auto" w:fill="FFFFFF"/>
          </w:tcPr>
          <w:p>
            <w:pPr>
              <w:spacing w:before="40" w:after="40"/>
            </w:pPr>
            <w:r>
              <w:rPr>
                <w:color w:val="2C3E50"/>
                <w:sz w:val="18"/>
              </w:rPr>
              <w:t>Edge / Spatial</w:t>
            </w:r>
          </w:p>
        </w:tc>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Sobel Edge Energy ↑</w:t>
            </w:r>
          </w:p>
        </w:tc>
        <w:tc>
          <w:tcPr>
            <w:tcW w:type="dxa" w:w="1080"/>
            <w:vAlign w:val="center"/>
            <w:tcMar>
              <w:top w:w="120" w:type="dxa"/>
              <w:bottom w:w="120" w:type="dxa"/>
              <w:left w:w="160" w:type="dxa"/>
              <w:right w:w="160" w:type="dxa"/>
            </w:tcMar>
            <w:shd w:val="clear" w:color="auto" w:fill="FFFFFF"/>
          </w:tcPr>
          <w:p>
            <w:pPr>
              <w:spacing w:before="40" w:after="40"/>
            </w:pPr>
            <w:r>
              <w:rPr>
                <w:color w:val="2C3E50"/>
                <w:sz w:val="18"/>
              </w:rPr>
              <w:t>16.4</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16.5</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18.2</w:t>
            </w:r>
          </w:p>
        </w:tc>
        <w:tc>
          <w:tcPr>
            <w:tcW w:type="dxa" w:w="1152"/>
            <w:vAlign w:val="center"/>
            <w:tcMar>
              <w:top w:w="120" w:type="dxa"/>
              <w:bottom w:w="120" w:type="dxa"/>
              <w:left w:w="160" w:type="dxa"/>
              <w:right w:w="160" w:type="dxa"/>
            </w:tcMar>
            <w:shd w:val="clear" w:color="auto" w:fill="FFFFFF"/>
          </w:tcPr>
          <w:p>
            <w:pPr>
              <w:spacing w:before="40" w:after="40"/>
            </w:pPr>
            <w:r>
              <w:rPr>
                <w:color w:val="2C3E50"/>
                <w:sz w:val="18"/>
              </w:rPr>
              <w:t>19.9</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19.8</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13.5 (denoised)</w:t>
            </w:r>
          </w:p>
        </w:tc>
      </w:tr>
      <w:tr>
        <w:tc>
          <w:tcPr>
            <w:tcW w:type="dxa" w:w="1872"/>
            <w:vAlign w:val="center"/>
            <w:tcMar>
              <w:top w:w="120" w:type="dxa"/>
              <w:bottom w:w="120" w:type="dxa"/>
              <w:left w:w="160" w:type="dxa"/>
              <w:right w:w="160" w:type="dxa"/>
            </w:tcMar>
            <w:shd w:val="clear" w:color="auto" w:fill="F4F7F9"/>
          </w:tcPr>
          <w:p>
            <w:pPr>
              <w:spacing w:before="40" w:after="40"/>
            </w:pPr>
            <w:r>
              <w:rPr>
                <w:color w:val="2C3E50"/>
                <w:sz w:val="18"/>
              </w:rPr>
              <w:t>Edge / Spatial</w:t>
            </w:r>
          </w:p>
        </w:tc>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Edge Gain (Δ Sobel) ↑</w:t>
            </w:r>
          </w:p>
        </w:tc>
        <w:tc>
          <w:tcPr>
            <w:tcW w:type="dxa" w:w="1080"/>
            <w:vAlign w:val="center"/>
            <w:tcMar>
              <w:top w:w="120" w:type="dxa"/>
              <w:bottom w:w="120" w:type="dxa"/>
              <w:left w:w="160" w:type="dxa"/>
              <w:right w:w="160" w:type="dxa"/>
            </w:tcMar>
            <w:shd w:val="clear" w:color="auto" w:fill="F4F7F9"/>
          </w:tcPr>
          <w:p>
            <w:pPr>
              <w:spacing w:before="40" w:after="40"/>
            </w:pPr>
            <w:r>
              <w:rPr>
                <w:color w:val="2C3E50"/>
                <w:sz w:val="18"/>
              </w:rPr>
              <w:t>+0.00</w:t>
            </w:r>
          </w:p>
        </w:tc>
        <w:tc>
          <w:tcPr>
            <w:tcW w:type="dxa" w:w="936"/>
            <w:vAlign w:val="center"/>
            <w:tcMar>
              <w:top w:w="120" w:type="dxa"/>
              <w:bottom w:w="120" w:type="dxa"/>
              <w:left w:w="160" w:type="dxa"/>
              <w:right w:w="160" w:type="dxa"/>
            </w:tcMar>
            <w:shd w:val="clear" w:color="auto" w:fill="F4F7F9"/>
          </w:tcPr>
          <w:p>
            <w:pPr>
              <w:spacing w:before="40" w:after="40"/>
            </w:pPr>
            <w:r>
              <w:rPr>
                <w:color w:val="2C3E50"/>
                <w:sz w:val="18"/>
              </w:rPr>
              <w:t>+0.14</w:t>
            </w:r>
          </w:p>
        </w:tc>
        <w:tc>
          <w:tcPr>
            <w:tcW w:type="dxa" w:w="936"/>
            <w:vAlign w:val="center"/>
            <w:tcMar>
              <w:top w:w="120" w:type="dxa"/>
              <w:bottom w:w="120" w:type="dxa"/>
              <w:left w:w="160" w:type="dxa"/>
              <w:right w:w="160" w:type="dxa"/>
            </w:tcMar>
            <w:shd w:val="clear" w:color="auto" w:fill="F4F7F9"/>
          </w:tcPr>
          <w:p>
            <w:pPr>
              <w:spacing w:before="40" w:after="40"/>
            </w:pPr>
            <w:r>
              <w:rPr>
                <w:color w:val="2C3E50"/>
                <w:sz w:val="18"/>
              </w:rPr>
              <w:t>+1.78</w:t>
            </w:r>
          </w:p>
        </w:tc>
        <w:tc>
          <w:tcPr>
            <w:tcW w:type="dxa" w:w="1152"/>
            <w:vAlign w:val="center"/>
            <w:tcMar>
              <w:top w:w="120" w:type="dxa"/>
              <w:bottom w:w="120" w:type="dxa"/>
              <w:left w:w="160" w:type="dxa"/>
              <w:right w:w="160" w:type="dxa"/>
            </w:tcMar>
            <w:shd w:val="clear" w:color="auto" w:fill="F4F7F9"/>
          </w:tcPr>
          <w:p>
            <w:pPr>
              <w:spacing w:before="40" w:after="40"/>
            </w:pPr>
            <w:r>
              <w:rPr>
                <w:color w:val="2C3E50"/>
                <w:sz w:val="18"/>
              </w:rPr>
              <w:t>+3.51</w:t>
            </w:r>
          </w:p>
        </w:tc>
        <w:tc>
          <w:tcPr>
            <w:tcW w:type="dxa" w:w="1440"/>
            <w:vAlign w:val="center"/>
            <w:tcMar>
              <w:top w:w="120" w:type="dxa"/>
              <w:bottom w:w="120" w:type="dxa"/>
              <w:left w:w="160" w:type="dxa"/>
              <w:right w:w="160" w:type="dxa"/>
            </w:tcMar>
            <w:shd w:val="clear" w:color="auto" w:fill="F4F7F9"/>
          </w:tcPr>
          <w:p>
            <w:pPr>
              <w:spacing w:before="40" w:after="40"/>
            </w:pPr>
            <w:r>
              <w:rPr>
                <w:color w:val="2C3E50"/>
                <w:sz w:val="18"/>
              </w:rPr>
              <w:t>+3.41</w:t>
            </w:r>
          </w:p>
        </w:tc>
        <w:tc>
          <w:tcPr>
            <w:tcW w:type="dxa" w:w="1440"/>
            <w:vAlign w:val="center"/>
            <w:tcMar>
              <w:top w:w="120" w:type="dxa"/>
              <w:bottom w:w="120" w:type="dxa"/>
              <w:left w:w="160" w:type="dxa"/>
              <w:right w:w="160" w:type="dxa"/>
            </w:tcMar>
            <w:shd w:val="clear" w:color="auto" w:fill="F4F7F9"/>
          </w:tcPr>
          <w:p>
            <w:pPr>
              <w:spacing w:before="40" w:after="40"/>
            </w:pPr>
            <w:r>
              <w:rPr>
                <w:color w:val="2C3E50"/>
                <w:sz w:val="18"/>
              </w:rPr>
              <w:t>-2.89</w:t>
            </w:r>
          </w:p>
        </w:tc>
      </w:tr>
      <w:tr>
        <w:tc>
          <w:tcPr>
            <w:tcW w:type="dxa" w:w="1872"/>
            <w:vAlign w:val="center"/>
            <w:tcMar>
              <w:top w:w="120" w:type="dxa"/>
              <w:bottom w:w="120" w:type="dxa"/>
              <w:left w:w="160" w:type="dxa"/>
              <w:right w:w="160" w:type="dxa"/>
            </w:tcMar>
            <w:shd w:val="clear" w:color="auto" w:fill="FFFFFF"/>
          </w:tcPr>
          <w:p>
            <w:pPr>
              <w:spacing w:before="40" w:after="40"/>
            </w:pPr>
            <w:r>
              <w:rPr>
                <w:color w:val="2C3E50"/>
                <w:sz w:val="18"/>
              </w:rPr>
              <w:t>Spectral / Scientific</w:t>
            </w:r>
          </w:p>
        </w:tc>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Radiometric Drift (DN) ↓</w:t>
            </w:r>
          </w:p>
        </w:tc>
        <w:tc>
          <w:tcPr>
            <w:tcW w:type="dxa" w:w="1080"/>
            <w:vAlign w:val="center"/>
            <w:tcMar>
              <w:top w:w="120" w:type="dxa"/>
              <w:bottom w:w="120" w:type="dxa"/>
              <w:left w:w="160" w:type="dxa"/>
              <w:right w:w="160" w:type="dxa"/>
            </w:tcMar>
            <w:shd w:val="clear" w:color="auto" w:fill="FFFFFF"/>
          </w:tcPr>
          <w:p>
            <w:pPr>
              <w:spacing w:before="40" w:after="40"/>
            </w:pPr>
            <w:r>
              <w:rPr>
                <w:color w:val="2C3E50"/>
                <w:sz w:val="18"/>
              </w:rPr>
              <w:t>0.00</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0.67</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0.70</w:t>
            </w:r>
          </w:p>
        </w:tc>
        <w:tc>
          <w:tcPr>
            <w:tcW w:type="dxa" w:w="1152"/>
            <w:vAlign w:val="center"/>
            <w:tcMar>
              <w:top w:w="120" w:type="dxa"/>
              <w:bottom w:w="120" w:type="dxa"/>
              <w:left w:w="160" w:type="dxa"/>
              <w:right w:w="160" w:type="dxa"/>
            </w:tcMar>
            <w:shd w:val="clear" w:color="auto" w:fill="FFFFFF"/>
          </w:tcPr>
          <w:p>
            <w:pPr>
              <w:spacing w:before="40" w:after="40"/>
            </w:pPr>
            <w:r>
              <w:rPr>
                <w:color w:val="2C3E50"/>
                <w:sz w:val="18"/>
              </w:rPr>
              <w:t>0.09</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0.30</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0.32</w:t>
            </w:r>
          </w:p>
        </w:tc>
      </w:tr>
      <w:tr>
        <w:tc>
          <w:tcPr>
            <w:tcW w:type="dxa" w:w="1872"/>
            <w:vAlign w:val="center"/>
            <w:tcMar>
              <w:top w:w="120" w:type="dxa"/>
              <w:bottom w:w="120" w:type="dxa"/>
              <w:left w:w="160" w:type="dxa"/>
              <w:right w:w="160" w:type="dxa"/>
            </w:tcMar>
            <w:shd w:val="clear" w:color="auto" w:fill="F4F7F9"/>
          </w:tcPr>
          <w:p>
            <w:pPr>
              <w:spacing w:before="40" w:after="40"/>
            </w:pPr>
            <w:r>
              <w:rPr>
                <w:color w:val="2C3E50"/>
                <w:sz w:val="18"/>
              </w:rPr>
              <w:t>Spectral / Scientific</w:t>
            </w:r>
          </w:p>
        </w:tc>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SAM (Spectral Angle) ↓</w:t>
            </w:r>
          </w:p>
        </w:tc>
        <w:tc>
          <w:tcPr>
            <w:tcW w:type="dxa" w:w="1080"/>
            <w:vAlign w:val="center"/>
            <w:tcMar>
              <w:top w:w="120" w:type="dxa"/>
              <w:bottom w:w="120" w:type="dxa"/>
              <w:left w:w="160" w:type="dxa"/>
              <w:right w:w="160" w:type="dxa"/>
            </w:tcMar>
            <w:shd w:val="clear" w:color="auto" w:fill="F4F7F9"/>
          </w:tcPr>
          <w:p>
            <w:pPr>
              <w:spacing w:before="40" w:after="40"/>
            </w:pPr>
            <w:r>
              <w:rPr>
                <w:color w:val="2C3E50"/>
                <w:sz w:val="18"/>
              </w:rPr>
              <w:t>5.69°</w:t>
            </w:r>
          </w:p>
        </w:tc>
        <w:tc>
          <w:tcPr>
            <w:tcW w:type="dxa" w:w="936"/>
            <w:vAlign w:val="center"/>
            <w:tcMar>
              <w:top w:w="120" w:type="dxa"/>
              <w:bottom w:w="120" w:type="dxa"/>
              <w:left w:w="160" w:type="dxa"/>
              <w:right w:w="160" w:type="dxa"/>
            </w:tcMar>
            <w:shd w:val="clear" w:color="auto" w:fill="F4F7F9"/>
          </w:tcPr>
          <w:p>
            <w:pPr>
              <w:spacing w:before="40" w:after="40"/>
            </w:pPr>
            <w:r>
              <w:rPr>
                <w:color w:val="2C3E50"/>
                <w:sz w:val="18"/>
              </w:rPr>
              <w:t>5.46°</w:t>
            </w:r>
          </w:p>
        </w:tc>
        <w:tc>
          <w:tcPr>
            <w:tcW w:type="dxa" w:w="936"/>
            <w:vAlign w:val="center"/>
            <w:tcMar>
              <w:top w:w="120" w:type="dxa"/>
              <w:bottom w:w="120" w:type="dxa"/>
              <w:left w:w="160" w:type="dxa"/>
              <w:right w:w="160" w:type="dxa"/>
            </w:tcMar>
            <w:shd w:val="clear" w:color="auto" w:fill="F4F7F9"/>
          </w:tcPr>
          <w:p>
            <w:pPr>
              <w:spacing w:before="40" w:after="40"/>
            </w:pPr>
            <w:r>
              <w:rPr>
                <w:color w:val="2C3E50"/>
                <w:sz w:val="18"/>
              </w:rPr>
              <w:t>5.49°</w:t>
            </w:r>
          </w:p>
        </w:tc>
        <w:tc>
          <w:tcPr>
            <w:tcW w:type="dxa" w:w="1152"/>
            <w:vAlign w:val="center"/>
            <w:tcMar>
              <w:top w:w="120" w:type="dxa"/>
              <w:bottom w:w="120" w:type="dxa"/>
              <w:left w:w="160" w:type="dxa"/>
              <w:right w:w="160" w:type="dxa"/>
            </w:tcMar>
            <w:shd w:val="clear" w:color="auto" w:fill="F4F7F9"/>
          </w:tcPr>
          <w:p>
            <w:pPr>
              <w:spacing w:before="40" w:after="40"/>
            </w:pPr>
            <w:r>
              <w:rPr>
                <w:color w:val="2C3E50"/>
                <w:sz w:val="18"/>
              </w:rPr>
              <w:t>5.58°</w:t>
            </w:r>
          </w:p>
        </w:tc>
        <w:tc>
          <w:tcPr>
            <w:tcW w:type="dxa" w:w="1440"/>
            <w:vAlign w:val="center"/>
            <w:tcMar>
              <w:top w:w="120" w:type="dxa"/>
              <w:bottom w:w="120" w:type="dxa"/>
              <w:left w:w="160" w:type="dxa"/>
              <w:right w:w="160" w:type="dxa"/>
            </w:tcMar>
            <w:shd w:val="clear" w:color="auto" w:fill="F4F7F9"/>
          </w:tcPr>
          <w:p>
            <w:pPr>
              <w:spacing w:before="40" w:after="40"/>
            </w:pPr>
            <w:r>
              <w:rPr>
                <w:color w:val="2C3E50"/>
                <w:sz w:val="18"/>
              </w:rPr>
              <w:t>7.23°</w:t>
            </w:r>
          </w:p>
        </w:tc>
        <w:tc>
          <w:tcPr>
            <w:tcW w:type="dxa" w:w="1440"/>
            <w:vAlign w:val="center"/>
            <w:tcMar>
              <w:top w:w="120" w:type="dxa"/>
              <w:bottom w:w="120" w:type="dxa"/>
              <w:left w:w="160" w:type="dxa"/>
              <w:right w:w="160" w:type="dxa"/>
            </w:tcMar>
            <w:shd w:val="clear" w:color="auto" w:fill="F4F7F9"/>
          </w:tcPr>
          <w:p>
            <w:pPr>
              <w:spacing w:before="40" w:after="40"/>
            </w:pPr>
            <w:r>
              <w:rPr>
                <w:color w:val="2C3E50"/>
                <w:sz w:val="18"/>
              </w:rPr>
              <w:t>6.85°</w:t>
            </w:r>
          </w:p>
        </w:tc>
      </w:tr>
      <w:tr>
        <w:tc>
          <w:tcPr>
            <w:tcW w:type="dxa" w:w="1872"/>
            <w:vAlign w:val="center"/>
            <w:tcMar>
              <w:top w:w="120" w:type="dxa"/>
              <w:bottom w:w="120" w:type="dxa"/>
              <w:left w:w="160" w:type="dxa"/>
              <w:right w:w="160" w:type="dxa"/>
            </w:tcMar>
            <w:shd w:val="clear" w:color="auto" w:fill="FFFFFF"/>
          </w:tcPr>
          <w:p>
            <w:pPr>
              <w:spacing w:before="40" w:after="40"/>
            </w:pPr>
            <w:r>
              <w:rPr>
                <w:color w:val="2C3E50"/>
                <w:sz w:val="18"/>
              </w:rPr>
              <w:t>Spectral / Scientific</w:t>
            </w:r>
          </w:p>
        </w:tc>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ERGAS (Synthesis Error) ↓</w:t>
            </w:r>
          </w:p>
        </w:tc>
        <w:tc>
          <w:tcPr>
            <w:tcW w:type="dxa" w:w="1080"/>
            <w:vAlign w:val="center"/>
            <w:tcMar>
              <w:top w:w="120" w:type="dxa"/>
              <w:bottom w:w="120" w:type="dxa"/>
              <w:left w:w="160" w:type="dxa"/>
              <w:right w:w="160" w:type="dxa"/>
            </w:tcMar>
            <w:shd w:val="clear" w:color="auto" w:fill="FFFFFF"/>
          </w:tcPr>
          <w:p>
            <w:pPr>
              <w:spacing w:before="40" w:after="40"/>
            </w:pPr>
            <w:r>
              <w:rPr>
                <w:color w:val="2C3E50"/>
                <w:sz w:val="18"/>
              </w:rPr>
              <w:t>36.06</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33.90</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33.77</w:t>
            </w:r>
          </w:p>
        </w:tc>
        <w:tc>
          <w:tcPr>
            <w:tcW w:type="dxa" w:w="1152"/>
            <w:vAlign w:val="center"/>
            <w:tcMar>
              <w:top w:w="120" w:type="dxa"/>
              <w:bottom w:w="120" w:type="dxa"/>
              <w:left w:w="160" w:type="dxa"/>
              <w:right w:w="160" w:type="dxa"/>
            </w:tcMar>
            <w:shd w:val="clear" w:color="auto" w:fill="FFFFFF"/>
          </w:tcPr>
          <w:p>
            <w:pPr>
              <w:spacing w:before="40" w:after="40"/>
            </w:pPr>
            <w:r>
              <w:rPr>
                <w:color w:val="2C3E50"/>
                <w:sz w:val="18"/>
              </w:rPr>
              <w:t>35.75</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36.28</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36.53</w:t>
            </w:r>
          </w:p>
        </w:tc>
      </w:tr>
      <w:tr>
        <w:tc>
          <w:tcPr>
            <w:tcW w:type="dxa" w:w="1872"/>
            <w:vAlign w:val="center"/>
            <w:tcMar>
              <w:top w:w="120" w:type="dxa"/>
              <w:bottom w:w="120" w:type="dxa"/>
              <w:left w:w="160" w:type="dxa"/>
              <w:right w:w="160" w:type="dxa"/>
            </w:tcMar>
            <w:shd w:val="clear" w:color="auto" w:fill="F4F7F9"/>
          </w:tcPr>
          <w:p>
            <w:pPr>
              <w:spacing w:before="40" w:after="40"/>
            </w:pPr>
            <w:r>
              <w:rPr>
                <w:color w:val="2C3E50"/>
                <w:sz w:val="18"/>
              </w:rPr>
              <w:t>Spectral / Scientific</w:t>
            </w:r>
          </w:p>
        </w:tc>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VARI Index MAE ↓</w:t>
            </w:r>
          </w:p>
        </w:tc>
        <w:tc>
          <w:tcPr>
            <w:tcW w:type="dxa" w:w="1080"/>
            <w:vAlign w:val="center"/>
            <w:tcMar>
              <w:top w:w="120" w:type="dxa"/>
              <w:bottom w:w="120" w:type="dxa"/>
              <w:left w:w="160" w:type="dxa"/>
              <w:right w:w="160" w:type="dxa"/>
            </w:tcMar>
            <w:shd w:val="clear" w:color="auto" w:fill="F4F7F9"/>
          </w:tcPr>
          <w:p>
            <w:pPr>
              <w:spacing w:before="40" w:after="40"/>
            </w:pPr>
            <w:r>
              <w:rPr>
                <w:color w:val="2C3E50"/>
                <w:sz w:val="18"/>
              </w:rPr>
              <w:t>1.2859</w:t>
            </w:r>
          </w:p>
        </w:tc>
        <w:tc>
          <w:tcPr>
            <w:tcW w:type="dxa" w:w="936"/>
            <w:vAlign w:val="center"/>
            <w:tcMar>
              <w:top w:w="120" w:type="dxa"/>
              <w:bottom w:w="120" w:type="dxa"/>
              <w:left w:w="160" w:type="dxa"/>
              <w:right w:w="160" w:type="dxa"/>
            </w:tcMar>
            <w:shd w:val="clear" w:color="auto" w:fill="F4F7F9"/>
          </w:tcPr>
          <w:p>
            <w:pPr>
              <w:spacing w:before="40" w:after="40"/>
            </w:pPr>
            <w:r>
              <w:rPr>
                <w:color w:val="2C3E50"/>
                <w:sz w:val="18"/>
              </w:rPr>
              <w:t>0.4304</w:t>
            </w:r>
          </w:p>
        </w:tc>
        <w:tc>
          <w:tcPr>
            <w:tcW w:type="dxa" w:w="936"/>
            <w:vAlign w:val="center"/>
            <w:tcMar>
              <w:top w:w="120" w:type="dxa"/>
              <w:bottom w:w="120" w:type="dxa"/>
              <w:left w:w="160" w:type="dxa"/>
              <w:right w:w="160" w:type="dxa"/>
            </w:tcMar>
            <w:shd w:val="clear" w:color="auto" w:fill="F4F7F9"/>
          </w:tcPr>
          <w:p>
            <w:pPr>
              <w:spacing w:before="40" w:after="40"/>
            </w:pPr>
            <w:r>
              <w:rPr>
                <w:color w:val="2C3E50"/>
                <w:sz w:val="18"/>
              </w:rPr>
              <w:t>0.5640</w:t>
            </w:r>
          </w:p>
        </w:tc>
        <w:tc>
          <w:tcPr>
            <w:tcW w:type="dxa" w:w="1152"/>
            <w:vAlign w:val="center"/>
            <w:tcMar>
              <w:top w:w="120" w:type="dxa"/>
              <w:bottom w:w="120" w:type="dxa"/>
              <w:left w:w="160" w:type="dxa"/>
              <w:right w:w="160" w:type="dxa"/>
            </w:tcMar>
            <w:shd w:val="clear" w:color="auto" w:fill="F4F7F9"/>
          </w:tcPr>
          <w:p>
            <w:pPr>
              <w:spacing w:before="40" w:after="40"/>
            </w:pPr>
            <w:r>
              <w:rPr>
                <w:color w:val="2C3E50"/>
                <w:sz w:val="18"/>
              </w:rPr>
              <w:t>0.7251</w:t>
            </w:r>
          </w:p>
        </w:tc>
        <w:tc>
          <w:tcPr>
            <w:tcW w:type="dxa" w:w="1440"/>
            <w:vAlign w:val="center"/>
            <w:tcMar>
              <w:top w:w="120" w:type="dxa"/>
              <w:bottom w:w="120" w:type="dxa"/>
              <w:left w:w="160" w:type="dxa"/>
              <w:right w:w="160" w:type="dxa"/>
            </w:tcMar>
            <w:shd w:val="clear" w:color="auto" w:fill="F4F7F9"/>
          </w:tcPr>
          <w:p>
            <w:pPr>
              <w:spacing w:before="40" w:after="40"/>
            </w:pPr>
            <w:r>
              <w:rPr>
                <w:color w:val="2C3E50"/>
                <w:sz w:val="18"/>
              </w:rPr>
              <w:t>2.0568</w:t>
            </w:r>
          </w:p>
        </w:tc>
        <w:tc>
          <w:tcPr>
            <w:tcW w:type="dxa" w:w="1440"/>
            <w:vAlign w:val="center"/>
            <w:tcMar>
              <w:top w:w="120" w:type="dxa"/>
              <w:bottom w:w="120" w:type="dxa"/>
              <w:left w:w="160" w:type="dxa"/>
              <w:right w:w="160" w:type="dxa"/>
            </w:tcMar>
            <w:shd w:val="clear" w:color="auto" w:fill="F4F7F9"/>
          </w:tcPr>
          <w:p>
            <w:pPr>
              <w:spacing w:before="40" w:after="40"/>
            </w:pPr>
            <w:r>
              <w:rPr>
                <w:color w:val="2C3E50"/>
                <w:sz w:val="18"/>
              </w:rPr>
              <w:t>1.1921</w:t>
            </w:r>
          </w:p>
        </w:tc>
      </w:tr>
      <w:tr>
        <w:tc>
          <w:tcPr>
            <w:tcW w:type="dxa" w:w="1872"/>
            <w:vAlign w:val="center"/>
            <w:tcMar>
              <w:top w:w="120" w:type="dxa"/>
              <w:bottom w:w="120" w:type="dxa"/>
              <w:left w:w="160" w:type="dxa"/>
              <w:right w:w="160" w:type="dxa"/>
            </w:tcMar>
            <w:shd w:val="clear" w:color="auto" w:fill="FFFFFF"/>
          </w:tcPr>
          <w:p>
            <w:pPr>
              <w:spacing w:before="40" w:after="40"/>
            </w:pPr>
            <w:r>
              <w:rPr>
                <w:color w:val="2C3E50"/>
                <w:sz w:val="18"/>
              </w:rPr>
              <w:t>Operational</w:t>
            </w:r>
          </w:p>
        </w:tc>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Uncertainty Map</w:t>
            </w:r>
          </w:p>
        </w:tc>
        <w:tc>
          <w:tcPr>
            <w:tcW w:type="dxa" w:w="1080"/>
            <w:vAlign w:val="center"/>
            <w:tcMar>
              <w:top w:w="120" w:type="dxa"/>
              <w:bottom w:w="120" w:type="dxa"/>
              <w:left w:w="160" w:type="dxa"/>
              <w:right w:w="160" w:type="dxa"/>
            </w:tcMar>
            <w:shd w:val="clear" w:color="auto" w:fill="FFFFFF"/>
          </w:tcPr>
          <w:p>
            <w:pPr>
              <w:spacing w:before="40" w:after="40"/>
            </w:pPr>
            <w:r>
              <w:rPr>
                <w:color w:val="2C3E50"/>
                <w:sz w:val="18"/>
              </w:rPr>
              <w:t>❌ No</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 No</w:t>
            </w:r>
          </w:p>
        </w:tc>
        <w:tc>
          <w:tcPr>
            <w:tcW w:type="dxa" w:w="936"/>
            <w:vAlign w:val="center"/>
            <w:tcMar>
              <w:top w:w="120" w:type="dxa"/>
              <w:bottom w:w="120" w:type="dxa"/>
              <w:left w:w="160" w:type="dxa"/>
              <w:right w:w="160" w:type="dxa"/>
            </w:tcMar>
            <w:shd w:val="clear" w:color="auto" w:fill="FFFFFF"/>
          </w:tcPr>
          <w:p>
            <w:pPr>
              <w:spacing w:before="40" w:after="40"/>
            </w:pPr>
            <w:r>
              <w:rPr>
                <w:color w:val="2C3E50"/>
                <w:sz w:val="18"/>
              </w:rPr>
              <w:t>❌ No</w:t>
            </w:r>
          </w:p>
        </w:tc>
        <w:tc>
          <w:tcPr>
            <w:tcW w:type="dxa" w:w="1152"/>
            <w:vAlign w:val="center"/>
            <w:tcMar>
              <w:top w:w="120" w:type="dxa"/>
              <w:bottom w:w="120" w:type="dxa"/>
              <w:left w:w="160" w:type="dxa"/>
              <w:right w:w="160" w:type="dxa"/>
            </w:tcMar>
            <w:shd w:val="clear" w:color="auto" w:fill="FFFFFF"/>
          </w:tcPr>
          <w:p>
            <w:pPr>
              <w:spacing w:before="40" w:after="40"/>
            </w:pPr>
            <w:r>
              <w:rPr>
                <w:color w:val="2C3E50"/>
                <w:sz w:val="18"/>
              </w:rPr>
              <w:t>❌ No</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 No</w:t>
            </w:r>
          </w:p>
        </w:tc>
        <w:tc>
          <w:tcPr>
            <w:tcW w:type="dxa" w:w="1440"/>
            <w:vAlign w:val="center"/>
            <w:tcMar>
              <w:top w:w="120" w:type="dxa"/>
              <w:bottom w:w="120" w:type="dxa"/>
              <w:left w:w="160" w:type="dxa"/>
              <w:right w:w="160" w:type="dxa"/>
            </w:tcMar>
            <w:shd w:val="clear" w:color="auto" w:fill="FFFFFF"/>
          </w:tcPr>
          <w:p>
            <w:pPr>
              <w:spacing w:before="40" w:after="40"/>
            </w:pPr>
            <w:r>
              <w:rPr>
                <w:color w:val="2C3E50"/>
                <w:sz w:val="18"/>
              </w:rPr>
              <w:t>✅ Yes (Variance)</w:t>
            </w:r>
          </w:p>
        </w:tc>
      </w:tr>
    </w:tbl>
    <w:p>
      <w:pPr>
        <w:pStyle w:val="Heading2"/>
        <w:spacing w:before="280" w:after="80"/>
      </w:pPr>
      <w:r>
        <w:rPr>
          <w:color w:val="2980B9"/>
        </w:rPr>
        <w:t>Metric Definitions &amp; Scientific Significance</w:t>
      </w:r>
    </w:p>
    <w:p>
      <w:pPr>
        <w:pStyle w:val="ListBullet"/>
        <w:spacing w:before="40" w:after="40"/>
      </w:pPr>
      <w:r>
        <w:rPr>
          <w:b/>
          <w:sz w:val="19"/>
        </w:rPr>
        <w:t>PSNR (Peak Signal-to-Noise Ratio):</w:t>
      </w:r>
      <w:r>
        <w:rPr>
          <w:sz w:val="19"/>
        </w:rPr>
        <w:t xml:space="preserve"> Measured in decibels (dB). Quantifies logarithmic ratio between maximum signal power and corrupting reconstruction noise.</w:t>
      </w:r>
    </w:p>
    <w:p>
      <w:pPr>
        <w:pStyle w:val="ListBullet"/>
        <w:spacing w:before="40" w:after="40"/>
      </w:pPr>
      <w:r>
        <w:rPr>
          <w:b/>
          <w:sz w:val="19"/>
        </w:rPr>
        <w:t>SSIM (Structural Similarity Index):</w:t>
      </w:r>
      <w:r>
        <w:rPr>
          <w:sz w:val="19"/>
        </w:rPr>
        <w:t xml:space="preserve"> Measures human visual perception of luminance, contrast, and structural correlation (scale [-1, 1]).</w:t>
      </w:r>
    </w:p>
    <w:p>
      <w:pPr>
        <w:pStyle w:val="ListBullet"/>
        <w:spacing w:before="40" w:after="40"/>
      </w:pPr>
      <w:r>
        <w:rPr>
          <w:b/>
          <w:sz w:val="19"/>
        </w:rPr>
        <w:t>MAE (Mean Absolute Error):</w:t>
      </w:r>
      <w:r>
        <w:rPr>
          <w:sz w:val="19"/>
        </w:rPr>
        <w:t xml:space="preserve"> Normalized pixel-level residual error magnitude.</w:t>
      </w:r>
    </w:p>
    <w:p>
      <w:pPr>
        <w:pStyle w:val="ListBullet"/>
        <w:spacing w:before="40" w:after="40"/>
      </w:pPr>
      <w:r>
        <w:rPr>
          <w:b/>
          <w:sz w:val="19"/>
        </w:rPr>
        <w:t>Sobel Edge Energy &amp; Edge Gain (Δ Sobel):</w:t>
      </w:r>
      <w:r>
        <w:rPr>
          <w:sz w:val="19"/>
        </w:rPr>
        <w:t xml:space="preserve"> Direct metric of boundary sharpening relative to standard bicubic interpolation. Models with low edge gain (like ESPCN at +0.14) appear visibly blurry, whereas our model (+3.41) and EDSR (+3.51) produce crisp building boundaries.</w:t>
      </w:r>
    </w:p>
    <w:p>
      <w:pPr>
        <w:pStyle w:val="ListBullet"/>
        <w:spacing w:before="40" w:after="40"/>
      </w:pPr>
      <w:r>
        <w:rPr>
          <w:b/>
          <w:sz w:val="19"/>
        </w:rPr>
        <w:t>Radiometric Drift (ΔDN):</w:t>
      </w:r>
      <w:r>
        <w:rPr>
          <w:sz w:val="19"/>
        </w:rPr>
        <w:t xml:space="preserve"> Absolute change in average digital numbers. Shifts above 0.5 DN distort satellite surface reflectance calibration.</w:t>
      </w:r>
    </w:p>
    <w:p>
      <w:pPr>
        <w:pStyle w:val="ListBullet"/>
        <w:spacing w:before="40" w:after="40"/>
      </w:pPr>
      <w:r>
        <w:rPr>
          <w:b/>
          <w:sz w:val="19"/>
        </w:rPr>
        <w:t>SAM (Spectral Angle Mapper):</w:t>
      </w:r>
      <w:r>
        <w:rPr>
          <w:sz w:val="19"/>
        </w:rPr>
        <w:t xml:space="preserve"> Measures the vector angle (in degrees) between ground truth and output spectral signatures. Smaller angle represents better preservation of physical surface chemistry.</w:t>
      </w:r>
    </w:p>
    <w:p>
      <w:pPr>
        <w:pStyle w:val="ListBullet"/>
        <w:spacing w:before="40" w:after="40"/>
      </w:pPr>
      <w:r>
        <w:rPr>
          <w:b/>
          <w:sz w:val="19"/>
        </w:rPr>
        <w:t>ERGAS (Relative Dimensionless Global Error in Synthesis):</w:t>
      </w:r>
      <w:r>
        <w:rPr>
          <w:sz w:val="19"/>
        </w:rPr>
        <w:t xml:space="preserve"> Standard remote sensing benchmark assessing quality of synthesized spectral bands. Lower is better.</w:t>
      </w:r>
    </w:p>
    <w:p>
      <w:pPr>
        <w:pStyle w:val="ListBullet"/>
        <w:spacing w:before="40" w:after="40"/>
      </w:pPr>
      <w:r>
        <w:rPr>
          <w:b/>
          <w:sz w:val="19"/>
        </w:rPr>
        <w:t>VARI Index MAE:</w:t>
      </w:r>
      <w:r>
        <w:rPr>
          <w:sz w:val="19"/>
        </w:rPr>
        <w:t xml:space="preserve"> Mean absolute difference on the Visible Atmospherically Resistant Index (VARI = (G - R) / (G + R - B)), verifying that vegetative chlorophyll reflectance remains uncorrupted.</w:t>
      </w:r>
    </w:p>
    <w:p>
      <w:pPr>
        <w:pStyle w:val="Heading1"/>
        <w:spacing w:before="360" w:after="160"/>
      </w:pPr>
      <w:r>
        <w:rPr>
          <w:color w:val="0F4C81"/>
        </w:rPr>
        <w:t>3. Structural Model Architectures (Collapsed Comparison)</w:t>
      </w:r>
    </w:p>
    <w:p>
      <w:pPr>
        <w:spacing w:before="160" w:after="40"/>
      </w:pPr>
      <w:r>
        <w:rPr>
          <w:b/>
          <w:color w:val="2980B9"/>
          <w:sz w:val="20"/>
        </w:rPr>
        <w:t>1. Sentinel2SRNet (Our Custom PyTorch Satellite Architecture) — 193,601 Params</w:t>
      </w:r>
    </w:p>
    <w:tbl>
      <w:tblPr>
        <w:tblW w:type="auto" w:w="0"/>
        <w:jc w:val="center"/>
        <w:tblLook w:firstColumn="1" w:firstRow="1" w:lastColumn="0" w:lastRow="0" w:noHBand="0" w:noVBand="1" w:val="04A0"/>
      </w:tblPr>
      <w:tblGrid>
        <w:gridCol w:w="9936"/>
      </w:tblGrid>
      <w:tr>
        <w:tc>
          <w:tcPr>
            <w:tcW w:type="dxa" w:w="10368"/>
            <w:shd w:val="clear" w:color="auto" w:fill="F8F9FA"/>
            <w:tcMar>
              <w:top w:w="100" w:type="dxa"/>
              <w:bottom w:w="100" w:type="dxa"/>
              <w:left w:w="140" w:type="dxa"/>
              <w:right w:w="140" w:type="dxa"/>
            </w:tcMar>
          </w:tcPr>
          <w:p>
            <w:pPr>
              <w:spacing w:before="0" w:after="0"/>
            </w:pPr>
            <w:r>
              <w:rPr>
                <w:rFonts w:ascii="Consolas" w:hAnsi="Consolas"/>
                <w:color w:val="283747"/>
                <w:sz w:val="17"/>
              </w:rPr>
              <w:t>Input: Tensor [B, 3, H, W] (10m GSD)</w:t>
              <w:br/>
              <w:t xml:space="preserve">  ├── [Bicubic Interpolation 2x] ────────────────────────────────────────────────────────┐ (Global Skip)</w:t>
              <w:br/>
              <w:t xml:space="preserve">  ▼</w:t>
              <w:br/>
              <w:t>[Head] Conv2d(3, 48, k=3, p=1) ──► PReLU()</w:t>
              <w:br/>
              <w:t xml:space="preserve">  ├── (Long Residual Identity Skip) ───────────────────────────────────┐</w:t>
              <w:br/>
              <w:t xml:space="preserve">  ▼</w:t>
              <w:br/>
              <w:t>[Body - 4 Residual Blocks]:</w:t>
              <w:br/>
              <w:t xml:space="preserve">  Block 1: Conv2d(48, 48, k=3, p=1) ──► PReLU() ──► Conv2d(48, 48) + Skip</w:t>
              <w:br/>
              <w:t xml:space="preserve">  Block 2: Conv2d(48, 48, k=3, p=1) ──► PReLU() ──► Conv2d(48, 48) + Skip</w:t>
              <w:br/>
              <w:t xml:space="preserve">  Block 3: Conv2d(48, 48, k=3, p=1) ──► PReLU() ──► Conv2d(48, 48) + Skip</w:t>
              <w:br/>
              <w:t xml:space="preserve">  Block 4: Conv2d(48, 48, k=3, p=1) ──► PReLU() ──► Conv2d(48, 48) + Skip</w:t>
              <w:br/>
              <w:t xml:space="preserve">  ▼</w:t>
              <w:br/>
              <w:t>[Fusion] Conv2d(48, 48, k=3, p=1)</w:t>
              <w:br/>
              <w:t xml:space="preserve">  ▼</w:t>
              <w:br/>
              <w:t xml:space="preserve">  (+) ◄────────────────────────────────────────────────────────────────┘</w:t>
              <w:br/>
              <w:t xml:space="preserve">  ▼</w:t>
              <w:br/>
              <w:t>[Tail] Conv2d(48, 12, k=3, p=1) ──► PixelShuffle(scale=2)</w:t>
              <w:br/>
              <w:t xml:space="preserve">  ▼</w:t>
              <w:br/>
              <w:t>[Zero-Mean Spatial Projection]: Res = Res - Res.mean(dim=(-2, -1), keepdim=True)</w:t>
              <w:br/>
              <w:t xml:space="preserve">  ▼</w:t>
              <w:br/>
              <w:t xml:space="preserve">  (+) ◄──────────────────────────────────────────────────────────────────────────────────┘</w:t>
              <w:br/>
              <w:t xml:space="preserve">  ▼</w:t>
              <w:br/>
              <w:t>Output: Tensor [B, 3, 2H, 2W] clamped to [0.0, 1.0] (5m GSD)</w:t>
            </w:r>
          </w:p>
        </w:tc>
      </w:tr>
    </w:tbl>
    <w:p>
      <w:pPr>
        <w:spacing w:before="160" w:after="40"/>
      </w:pPr>
      <w:r>
        <w:rPr>
          <w:b/>
          <w:color w:val="2980B9"/>
          <w:sz w:val="20"/>
        </w:rPr>
        <w:t>2. ESPCN (Efficient Sub-Pixel Convolutional Neural Network) — 21,691 Params</w:t>
      </w:r>
    </w:p>
    <w:tbl>
      <w:tblPr>
        <w:tblW w:type="auto" w:w="0"/>
        <w:jc w:val="center"/>
        <w:tblLook w:firstColumn="1" w:firstRow="1" w:lastColumn="0" w:lastRow="0" w:noHBand="0" w:noVBand="1" w:val="04A0"/>
      </w:tblPr>
      <w:tblGrid>
        <w:gridCol w:w="9936"/>
      </w:tblGrid>
      <w:tr>
        <w:tc>
          <w:tcPr>
            <w:tcW w:type="dxa" w:w="10368"/>
            <w:shd w:val="clear" w:color="auto" w:fill="F8F9FA"/>
            <w:tcMar>
              <w:top w:w="100" w:type="dxa"/>
              <w:bottom w:w="100" w:type="dxa"/>
              <w:left w:w="140" w:type="dxa"/>
              <w:right w:w="140" w:type="dxa"/>
            </w:tcMar>
          </w:tcPr>
          <w:p>
            <w:pPr>
              <w:spacing w:before="0" w:after="0"/>
            </w:pPr>
            <w:r>
              <w:rPr>
                <w:rFonts w:ascii="Consolas" w:hAnsi="Consolas"/>
                <w:color w:val="283747"/>
                <w:sz w:val="17"/>
              </w:rPr>
              <w:t>Input: [B, 1, H, W] (Luminance Y)</w:t>
              <w:br/>
              <w:t xml:space="preserve">  ▼</w:t>
              <w:br/>
              <w:t>[Layer 1] Conv2d(1, 64, kernel_size=5, padding=2) ──► Tanh() / ReLU()</w:t>
              <w:br/>
              <w:t xml:space="preserve">  ▼</w:t>
              <w:br/>
              <w:t>[Layer 2] Conv2d(64, 32, kernel_size=3, padding=1) ──► Tanh() / ReLU()</w:t>
              <w:br/>
              <w:t xml:space="preserve">  ▼</w:t>
              <w:br/>
              <w:t>[Layer 3] Conv2d(32, r^2 = 4, kernel_size=3, padding=1)</w:t>
              <w:br/>
              <w:t xml:space="preserve">  ▼</w:t>
              <w:br/>
              <w:t>[Sub-Pixel Shuffle] Periodic shuffling: [B, 4, H, W] ──► [B, 1, 2H, 2W]</w:t>
              <w:br/>
              <w:t>Output: [B, 1, 2H, 2W]</w:t>
            </w:r>
          </w:p>
        </w:tc>
      </w:tr>
    </w:tbl>
    <w:p>
      <w:pPr>
        <w:spacing w:before="160" w:after="40"/>
      </w:pPr>
      <w:r>
        <w:rPr>
          <w:b/>
          <w:color w:val="2980B9"/>
          <w:sz w:val="20"/>
        </w:rPr>
        <w:t>3. FSRCNN (Fast Super-Resolution Convolutional Neural Network) — 12,464 Params</w:t>
      </w:r>
    </w:p>
    <w:tbl>
      <w:tblPr>
        <w:tblW w:type="auto" w:w="0"/>
        <w:jc w:val="center"/>
        <w:tblLook w:firstColumn="1" w:firstRow="1" w:lastColumn="0" w:lastRow="0" w:noHBand="0" w:noVBand="1" w:val="04A0"/>
      </w:tblPr>
      <w:tblGrid>
        <w:gridCol w:w="9936"/>
      </w:tblGrid>
      <w:tr>
        <w:tc>
          <w:tcPr>
            <w:tcW w:type="dxa" w:w="10368"/>
            <w:shd w:val="clear" w:color="auto" w:fill="F8F9FA"/>
            <w:tcMar>
              <w:top w:w="100" w:type="dxa"/>
              <w:bottom w:w="100" w:type="dxa"/>
              <w:left w:w="140" w:type="dxa"/>
              <w:right w:w="140" w:type="dxa"/>
            </w:tcMar>
          </w:tcPr>
          <w:p>
            <w:pPr>
              <w:spacing w:before="0" w:after="0"/>
            </w:pPr>
            <w:r>
              <w:rPr>
                <w:rFonts w:ascii="Consolas" w:hAnsi="Consolas"/>
                <w:color w:val="283747"/>
                <w:sz w:val="17"/>
              </w:rPr>
              <w:t>Input: [B, 1, H, W] (Luminance Y)</w:t>
              <w:br/>
              <w:t xml:space="preserve">  ▼</w:t>
              <w:br/>
              <w:t>[1. Feature Extraction] Conv2d(1, d=56, kernel_size=5, padding=2) ──► PReLU()</w:t>
              <w:br/>
              <w:t xml:space="preserve">  ▼</w:t>
              <w:br/>
              <w:t>[2. Shrinking]          Conv2d(56, s=12, kernel_size=1) ──► PReLU()</w:t>
              <w:br/>
              <w:t xml:space="preserve">  ▼</w:t>
              <w:br/>
              <w:t>[3. Non-Linear Mapping] 4 Cascaded Conv2d(12, 12, kernel_size=3, padding=1) + PReLU()</w:t>
              <w:br/>
              <w:t xml:space="preserve">  ▼</w:t>
              <w:br/>
              <w:t>[4. Expanding]          Conv2d(12, d=56, kernel_size=1) ──► PReLU()</w:t>
              <w:br/>
              <w:t xml:space="preserve">  ▼</w:t>
              <w:br/>
              <w:t>[5. Deconvolution]      ConvTranspose2d(56, 1, kernel_size=9, stride=2, padding=4, out_p=1)</w:t>
              <w:br/>
              <w:t>Output: [B, 1, 2H, 2W]</w:t>
            </w:r>
          </w:p>
        </w:tc>
      </w:tr>
    </w:tbl>
    <w:p>
      <w:pPr>
        <w:spacing w:before="160" w:after="40"/>
      </w:pPr>
      <w:r>
        <w:rPr>
          <w:b/>
          <w:color w:val="2980B9"/>
          <w:sz w:val="20"/>
        </w:rPr>
        <w:t>4. EDSR (Enhanced Deep Residual Networks for Single Image SR) — 43,090,000 Params</w:t>
      </w:r>
    </w:p>
    <w:tbl>
      <w:tblPr>
        <w:tblW w:type="auto" w:w="0"/>
        <w:jc w:val="center"/>
        <w:tblLook w:firstColumn="1" w:firstRow="1" w:lastColumn="0" w:lastRow="0" w:noHBand="0" w:noVBand="1" w:val="04A0"/>
      </w:tblPr>
      <w:tblGrid>
        <w:gridCol w:w="9936"/>
      </w:tblGrid>
      <w:tr>
        <w:tc>
          <w:tcPr>
            <w:tcW w:type="dxa" w:w="10368"/>
            <w:shd w:val="clear" w:color="auto" w:fill="F8F9FA"/>
            <w:tcMar>
              <w:top w:w="100" w:type="dxa"/>
              <w:bottom w:w="100" w:type="dxa"/>
              <w:left w:w="140" w:type="dxa"/>
              <w:right w:w="140" w:type="dxa"/>
            </w:tcMar>
          </w:tcPr>
          <w:p>
            <w:pPr>
              <w:spacing w:before="0" w:after="0"/>
            </w:pPr>
            <w:r>
              <w:rPr>
                <w:rFonts w:ascii="Consolas" w:hAnsi="Consolas"/>
                <w:color w:val="283747"/>
                <w:sz w:val="17"/>
              </w:rPr>
              <w:t>Input: [B, 3, H, W]</w:t>
              <w:br/>
              <w:t xml:space="preserve">  ▼</w:t>
              <w:br/>
              <w:t>[Head] Conv2d(3, 256, kernel_size=3, padding=1)</w:t>
              <w:br/>
              <w:t xml:space="preserve">  ├── (Global Skip Connection) ─────────────────────────────────────────────────────────┐</w:t>
              <w:br/>
              <w:t xml:space="preserve">  ▼</w:t>
              <w:br/>
              <w:t>[Body - 16 Deep Residual Blocks (No Batch Normalization)]:</w:t>
              <w:br/>
              <w:t xml:space="preserve">  Each Block: Conv2d(256, 256) ──► ReLU() ──► Conv2d(256, 256) ──► ResScale(0.1) + Skip</w:t>
              <w:br/>
              <w:t xml:space="preserve">  ▼</w:t>
              <w:br/>
              <w:t>[Fusion] Conv2d(256, 256, kernel_size=3, padding=1)</w:t>
              <w:br/>
              <w:t xml:space="preserve">  ▼</w:t>
              <w:br/>
              <w:t xml:space="preserve">  (+) ◄─────────────────────────────────────────────────────────────────────────────────┘</w:t>
              <w:br/>
              <w:t xml:space="preserve">  ▼</w:t>
              <w:br/>
              <w:t>[Upsampler] Conv2d(256, 256 * 4, kernel_size=3, padding=1) ──► PixelShuffle(scale=2)</w:t>
              <w:br/>
              <w:t xml:space="preserve">  ▼</w:t>
              <w:br/>
              <w:t>[Tail] Conv2d(256, 3, kernel_size=3, padding=1)</w:t>
              <w:br/>
              <w:t>Output: [B, 3, 2H, 2W]</w:t>
            </w:r>
          </w:p>
        </w:tc>
      </w:tr>
    </w:tbl>
    <w:p>
      <w:pPr>
        <w:pStyle w:val="Heading1"/>
        <w:spacing w:before="360" w:after="160"/>
      </w:pPr>
      <w:r>
        <w:rPr>
          <w:color w:val="0F4C81"/>
        </w:rPr>
        <w:t>4. Fundamental Differences Among Models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160"/>
            <w:vAlign w:val="center"/>
            <w:tcMar>
              <w:top w:w="120" w:type="dxa"/>
              <w:bottom w:w="120" w:type="dxa"/>
              <w:left w:w="160" w:type="dxa"/>
              <w:right w:w="160" w:type="dxa"/>
            </w:tcMar>
            <w:shd w:val="clear" w:color="auto" w:fill="0F4C81"/>
          </w:tcPr>
          <w:p>
            <w:pPr>
              <w:spacing w:before="40" w:after="40"/>
            </w:pPr>
            <w:r>
              <w:rPr>
                <w:b/>
                <w:color w:val="FFFFFF"/>
                <w:sz w:val="19"/>
              </w:rPr>
              <w:t>Feature / Criterion</w:t>
            </w:r>
          </w:p>
        </w:tc>
        <w:tc>
          <w:tcPr>
            <w:tcW w:type="dxa" w:w="1296"/>
            <w:vAlign w:val="center"/>
            <w:tcMar>
              <w:top w:w="120" w:type="dxa"/>
              <w:bottom w:w="120" w:type="dxa"/>
              <w:left w:w="160" w:type="dxa"/>
              <w:right w:w="160" w:type="dxa"/>
            </w:tcMar>
            <w:shd w:val="clear" w:color="auto" w:fill="0F4C81"/>
          </w:tcPr>
          <w:p>
            <w:pPr>
              <w:spacing w:before="40" w:after="40"/>
            </w:pPr>
            <w:r>
              <w:rPr>
                <w:b/>
                <w:color w:val="FFFFFF"/>
                <w:sz w:val="19"/>
              </w:rPr>
              <w:t>Bicubic</w:t>
            </w:r>
          </w:p>
        </w:tc>
        <w:tc>
          <w:tcPr>
            <w:tcW w:type="dxa" w:w="1584"/>
            <w:vAlign w:val="center"/>
            <w:tcMar>
              <w:top w:w="120" w:type="dxa"/>
              <w:bottom w:w="120" w:type="dxa"/>
              <w:left w:w="160" w:type="dxa"/>
              <w:right w:w="160" w:type="dxa"/>
            </w:tcMar>
            <w:shd w:val="clear" w:color="auto" w:fill="0F4C81"/>
          </w:tcPr>
          <w:p>
            <w:pPr>
              <w:spacing w:before="40" w:after="40"/>
            </w:pPr>
            <w:r>
              <w:rPr>
                <w:b/>
                <w:color w:val="FFFFFF"/>
                <w:sz w:val="19"/>
              </w:rPr>
              <w:t>ESPCN</w:t>
            </w:r>
          </w:p>
        </w:tc>
        <w:tc>
          <w:tcPr>
            <w:tcW w:type="dxa" w:w="1728"/>
            <w:vAlign w:val="center"/>
            <w:tcMar>
              <w:top w:w="120" w:type="dxa"/>
              <w:bottom w:w="120" w:type="dxa"/>
              <w:left w:w="160" w:type="dxa"/>
              <w:right w:w="160" w:type="dxa"/>
            </w:tcMar>
            <w:shd w:val="clear" w:color="auto" w:fill="0F4C81"/>
          </w:tcPr>
          <w:p>
            <w:pPr>
              <w:spacing w:before="40" w:after="40"/>
            </w:pPr>
            <w:r>
              <w:rPr>
                <w:b/>
                <w:color w:val="FFFFFF"/>
                <w:sz w:val="19"/>
              </w:rPr>
              <w:t>FSRCNN</w:t>
            </w:r>
          </w:p>
        </w:tc>
        <w:tc>
          <w:tcPr>
            <w:tcW w:type="dxa" w:w="1728"/>
            <w:vAlign w:val="center"/>
            <w:tcMar>
              <w:top w:w="120" w:type="dxa"/>
              <w:bottom w:w="120" w:type="dxa"/>
              <w:left w:w="160" w:type="dxa"/>
              <w:right w:w="160" w:type="dxa"/>
            </w:tcMar>
            <w:shd w:val="clear" w:color="auto" w:fill="0F4C81"/>
          </w:tcPr>
          <w:p>
            <w:pPr>
              <w:spacing w:before="40" w:after="40"/>
            </w:pPr>
            <w:r>
              <w:rPr>
                <w:b/>
                <w:color w:val="FFFFFF"/>
                <w:sz w:val="19"/>
              </w:rPr>
              <w:t>EDSR</w:t>
            </w:r>
          </w:p>
        </w:tc>
        <w:tc>
          <w:tcPr>
            <w:tcW w:type="dxa" w:w="2160"/>
            <w:vAlign w:val="center"/>
            <w:tcMar>
              <w:top w:w="120" w:type="dxa"/>
              <w:bottom w:w="120" w:type="dxa"/>
              <w:left w:w="160" w:type="dxa"/>
              <w:right w:w="160" w:type="dxa"/>
            </w:tcMar>
            <w:shd w:val="clear" w:color="auto" w:fill="0F4C81"/>
          </w:tcPr>
          <w:p>
            <w:pPr>
              <w:spacing w:before="40" w:after="40"/>
            </w:pPr>
            <w:r>
              <w:rPr>
                <w:b/>
                <w:color w:val="FFFFFF"/>
                <w:sz w:val="19"/>
              </w:rPr>
              <w:t>🎯 Sentinel2SRNet (Ours)</w:t>
            </w:r>
          </w:p>
        </w:tc>
      </w:tr>
      <w:tr>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Domain</w:t>
            </w:r>
          </w:p>
        </w:tc>
        <w:tc>
          <w:tcPr>
            <w:tcW w:type="dxa" w:w="1296"/>
            <w:vAlign w:val="center"/>
            <w:tcMar>
              <w:top w:w="120" w:type="dxa"/>
              <w:bottom w:w="120" w:type="dxa"/>
              <w:left w:w="160" w:type="dxa"/>
              <w:right w:w="160" w:type="dxa"/>
            </w:tcMar>
            <w:shd w:val="clear" w:color="auto" w:fill="FFFFFF"/>
          </w:tcPr>
          <w:p>
            <w:pPr>
              <w:spacing w:before="40" w:after="40"/>
            </w:pPr>
            <w:r>
              <w:rPr>
                <w:color w:val="2C3E50"/>
                <w:sz w:val="18"/>
              </w:rPr>
              <w:t>General math</w:t>
            </w:r>
          </w:p>
        </w:tc>
        <w:tc>
          <w:tcPr>
            <w:tcW w:type="dxa" w:w="1584"/>
            <w:vAlign w:val="center"/>
            <w:tcMar>
              <w:top w:w="120" w:type="dxa"/>
              <w:bottom w:w="120" w:type="dxa"/>
              <w:left w:w="160" w:type="dxa"/>
              <w:right w:w="160" w:type="dxa"/>
            </w:tcMar>
            <w:shd w:val="clear" w:color="auto" w:fill="FFFFFF"/>
          </w:tcPr>
          <w:p>
            <w:pPr>
              <w:spacing w:before="40" w:after="40"/>
            </w:pPr>
            <w:r>
              <w:rPr>
                <w:color w:val="2C3E50"/>
                <w:sz w:val="18"/>
              </w:rPr>
              <w:t>Natural photos</w:t>
            </w:r>
          </w:p>
        </w:tc>
        <w:tc>
          <w:tcPr>
            <w:tcW w:type="dxa" w:w="1728"/>
            <w:vAlign w:val="center"/>
            <w:tcMar>
              <w:top w:w="120" w:type="dxa"/>
              <w:bottom w:w="120" w:type="dxa"/>
              <w:left w:w="160" w:type="dxa"/>
              <w:right w:w="160" w:type="dxa"/>
            </w:tcMar>
            <w:shd w:val="clear" w:color="auto" w:fill="FFFFFF"/>
          </w:tcPr>
          <w:p>
            <w:pPr>
              <w:spacing w:before="40" w:after="40"/>
            </w:pPr>
            <w:r>
              <w:rPr>
                <w:color w:val="2C3E50"/>
                <w:sz w:val="18"/>
              </w:rPr>
              <w:t>Natural photos</w:t>
            </w:r>
          </w:p>
        </w:tc>
        <w:tc>
          <w:tcPr>
            <w:tcW w:type="dxa" w:w="1728"/>
            <w:vAlign w:val="center"/>
            <w:tcMar>
              <w:top w:w="120" w:type="dxa"/>
              <w:bottom w:w="120" w:type="dxa"/>
              <w:left w:w="160" w:type="dxa"/>
              <w:right w:w="160" w:type="dxa"/>
            </w:tcMar>
            <w:shd w:val="clear" w:color="auto" w:fill="FFFFFF"/>
          </w:tcPr>
          <w:p>
            <w:pPr>
              <w:spacing w:before="40" w:after="40"/>
            </w:pPr>
            <w:r>
              <w:rPr>
                <w:color w:val="2C3E50"/>
                <w:sz w:val="18"/>
              </w:rPr>
              <w:t>Natural photos</w:t>
            </w:r>
          </w:p>
        </w:tc>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Satellite Remote Sensing</w:t>
            </w:r>
          </w:p>
        </w:tc>
      </w:tr>
      <w:tr>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Training Dataset</w:t>
            </w:r>
          </w:p>
        </w:tc>
        <w:tc>
          <w:tcPr>
            <w:tcW w:type="dxa" w:w="1296"/>
            <w:vAlign w:val="center"/>
            <w:tcMar>
              <w:top w:w="120" w:type="dxa"/>
              <w:bottom w:w="120" w:type="dxa"/>
              <w:left w:w="160" w:type="dxa"/>
              <w:right w:w="160" w:type="dxa"/>
            </w:tcMar>
            <w:shd w:val="clear" w:color="auto" w:fill="F4F7F9"/>
          </w:tcPr>
          <w:p>
            <w:pPr>
              <w:spacing w:before="40" w:after="40"/>
            </w:pPr>
            <w:r>
              <w:rPr>
                <w:color w:val="2C3E50"/>
                <w:sz w:val="18"/>
              </w:rPr>
              <w:t>None</w:t>
            </w:r>
          </w:p>
        </w:tc>
        <w:tc>
          <w:tcPr>
            <w:tcW w:type="dxa" w:w="1584"/>
            <w:vAlign w:val="center"/>
            <w:tcMar>
              <w:top w:w="120" w:type="dxa"/>
              <w:bottom w:w="120" w:type="dxa"/>
              <w:left w:w="160" w:type="dxa"/>
              <w:right w:w="160" w:type="dxa"/>
            </w:tcMar>
            <w:shd w:val="clear" w:color="auto" w:fill="F4F7F9"/>
          </w:tcPr>
          <w:p>
            <w:pPr>
              <w:spacing w:before="40" w:after="40"/>
            </w:pPr>
            <w:r>
              <w:rPr>
                <w:color w:val="2C3E50"/>
                <w:sz w:val="18"/>
              </w:rPr>
              <w:t>DIV2K / Set14</w:t>
            </w:r>
          </w:p>
        </w:tc>
        <w:tc>
          <w:tcPr>
            <w:tcW w:type="dxa" w:w="1728"/>
            <w:vAlign w:val="center"/>
            <w:tcMar>
              <w:top w:w="120" w:type="dxa"/>
              <w:bottom w:w="120" w:type="dxa"/>
              <w:left w:w="160" w:type="dxa"/>
              <w:right w:w="160" w:type="dxa"/>
            </w:tcMar>
            <w:shd w:val="clear" w:color="auto" w:fill="F4F7F9"/>
          </w:tcPr>
          <w:p>
            <w:pPr>
              <w:spacing w:before="40" w:after="40"/>
            </w:pPr>
            <w:r>
              <w:rPr>
                <w:color w:val="2C3E50"/>
                <w:sz w:val="18"/>
              </w:rPr>
              <w:t>DIV2K / Set14</w:t>
            </w:r>
          </w:p>
        </w:tc>
        <w:tc>
          <w:tcPr>
            <w:tcW w:type="dxa" w:w="1728"/>
            <w:vAlign w:val="center"/>
            <w:tcMar>
              <w:top w:w="120" w:type="dxa"/>
              <w:bottom w:w="120" w:type="dxa"/>
              <w:left w:w="160" w:type="dxa"/>
              <w:right w:w="160" w:type="dxa"/>
            </w:tcMar>
            <w:shd w:val="clear" w:color="auto" w:fill="F4F7F9"/>
          </w:tcPr>
          <w:p>
            <w:pPr>
              <w:spacing w:before="40" w:after="40"/>
            </w:pPr>
            <w:r>
              <w:rPr>
                <w:color w:val="2C3E50"/>
                <w:sz w:val="18"/>
              </w:rPr>
              <w:t>DIV2K (800 2K images)</w:t>
            </w:r>
          </w:p>
        </w:tc>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SEN2VENµS (Paired Satellite)</w:t>
            </w:r>
          </w:p>
        </w:tc>
      </w:tr>
      <w:tr>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Upscaling Mechanism</w:t>
            </w:r>
          </w:p>
        </w:tc>
        <w:tc>
          <w:tcPr>
            <w:tcW w:type="dxa" w:w="1296"/>
            <w:vAlign w:val="center"/>
            <w:tcMar>
              <w:top w:w="120" w:type="dxa"/>
              <w:bottom w:w="120" w:type="dxa"/>
              <w:left w:w="160" w:type="dxa"/>
              <w:right w:w="160" w:type="dxa"/>
            </w:tcMar>
            <w:shd w:val="clear" w:color="auto" w:fill="FFFFFF"/>
          </w:tcPr>
          <w:p>
            <w:pPr>
              <w:spacing w:before="40" w:after="40"/>
            </w:pPr>
            <w:r>
              <w:rPr>
                <w:color w:val="2C3E50"/>
                <w:sz w:val="18"/>
              </w:rPr>
              <w:t>Polynomial 16-pt</w:t>
            </w:r>
          </w:p>
        </w:tc>
        <w:tc>
          <w:tcPr>
            <w:tcW w:type="dxa" w:w="1584"/>
            <w:vAlign w:val="center"/>
            <w:tcMar>
              <w:top w:w="120" w:type="dxa"/>
              <w:bottom w:w="120" w:type="dxa"/>
              <w:left w:w="160" w:type="dxa"/>
              <w:right w:w="160" w:type="dxa"/>
            </w:tcMar>
            <w:shd w:val="clear" w:color="auto" w:fill="FFFFFF"/>
          </w:tcPr>
          <w:p>
            <w:pPr>
              <w:spacing w:before="40" w:after="40"/>
            </w:pPr>
            <w:r>
              <w:rPr>
                <w:color w:val="2C3E50"/>
                <w:sz w:val="18"/>
              </w:rPr>
              <w:t>Sub-pixel shuffle</w:t>
            </w:r>
          </w:p>
        </w:tc>
        <w:tc>
          <w:tcPr>
            <w:tcW w:type="dxa" w:w="1728"/>
            <w:vAlign w:val="center"/>
            <w:tcMar>
              <w:top w:w="120" w:type="dxa"/>
              <w:bottom w:w="120" w:type="dxa"/>
              <w:left w:w="160" w:type="dxa"/>
              <w:right w:w="160" w:type="dxa"/>
            </w:tcMar>
            <w:shd w:val="clear" w:color="auto" w:fill="FFFFFF"/>
          </w:tcPr>
          <w:p>
            <w:pPr>
              <w:spacing w:before="40" w:after="40"/>
            </w:pPr>
            <w:r>
              <w:rPr>
                <w:color w:val="2C3E50"/>
                <w:sz w:val="18"/>
              </w:rPr>
              <w:t>Deconvolution</w:t>
            </w:r>
          </w:p>
        </w:tc>
        <w:tc>
          <w:tcPr>
            <w:tcW w:type="dxa" w:w="1728"/>
            <w:vAlign w:val="center"/>
            <w:tcMar>
              <w:top w:w="120" w:type="dxa"/>
              <w:bottom w:w="120" w:type="dxa"/>
              <w:left w:w="160" w:type="dxa"/>
              <w:right w:w="160" w:type="dxa"/>
            </w:tcMar>
            <w:shd w:val="clear" w:color="auto" w:fill="FFFFFF"/>
          </w:tcPr>
          <w:p>
            <w:pPr>
              <w:spacing w:before="40" w:after="40"/>
            </w:pPr>
            <w:r>
              <w:rPr>
                <w:color w:val="2C3E50"/>
                <w:sz w:val="18"/>
              </w:rPr>
              <w:t>Sub-pixel shuffle</w:t>
            </w:r>
          </w:p>
        </w:tc>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Sub-pixel + Global Bicubic Residual</w:t>
            </w:r>
          </w:p>
        </w:tc>
      </w:tr>
      <w:tr>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Checkerboard Artifacts</w:t>
            </w:r>
          </w:p>
        </w:tc>
        <w:tc>
          <w:tcPr>
            <w:tcW w:type="dxa" w:w="1296"/>
            <w:vAlign w:val="center"/>
            <w:tcMar>
              <w:top w:w="120" w:type="dxa"/>
              <w:bottom w:w="120" w:type="dxa"/>
              <w:left w:w="160" w:type="dxa"/>
              <w:right w:w="160" w:type="dxa"/>
            </w:tcMar>
            <w:shd w:val="clear" w:color="auto" w:fill="F4F7F9"/>
          </w:tcPr>
          <w:p>
            <w:pPr>
              <w:spacing w:before="40" w:after="40"/>
            </w:pPr>
            <w:r>
              <w:rPr>
                <w:color w:val="2C3E50"/>
                <w:sz w:val="18"/>
              </w:rPr>
              <w:t>None</w:t>
            </w:r>
          </w:p>
        </w:tc>
        <w:tc>
          <w:tcPr>
            <w:tcW w:type="dxa" w:w="1584"/>
            <w:vAlign w:val="center"/>
            <w:tcMar>
              <w:top w:w="120" w:type="dxa"/>
              <w:bottom w:w="120" w:type="dxa"/>
              <w:left w:w="160" w:type="dxa"/>
              <w:right w:w="160" w:type="dxa"/>
            </w:tcMar>
            <w:shd w:val="clear" w:color="auto" w:fill="F4F7F9"/>
          </w:tcPr>
          <w:p>
            <w:pPr>
              <w:spacing w:before="40" w:after="40"/>
            </w:pPr>
            <w:r>
              <w:rPr>
                <w:color w:val="2C3E50"/>
                <w:sz w:val="18"/>
              </w:rPr>
              <w:t>None</w:t>
            </w:r>
          </w:p>
        </w:tc>
        <w:tc>
          <w:tcPr>
            <w:tcW w:type="dxa" w:w="1728"/>
            <w:vAlign w:val="center"/>
            <w:tcMar>
              <w:top w:w="120" w:type="dxa"/>
              <w:bottom w:w="120" w:type="dxa"/>
              <w:left w:w="160" w:type="dxa"/>
              <w:right w:w="160" w:type="dxa"/>
            </w:tcMar>
            <w:shd w:val="clear" w:color="auto" w:fill="F4F7F9"/>
          </w:tcPr>
          <w:p>
            <w:pPr>
              <w:spacing w:before="40" w:after="40"/>
            </w:pPr>
            <w:r>
              <w:rPr>
                <w:color w:val="2C3E50"/>
                <w:sz w:val="18"/>
              </w:rPr>
              <w:t>High (Deconv overlap)</w:t>
            </w:r>
          </w:p>
        </w:tc>
        <w:tc>
          <w:tcPr>
            <w:tcW w:type="dxa" w:w="1728"/>
            <w:vAlign w:val="center"/>
            <w:tcMar>
              <w:top w:w="120" w:type="dxa"/>
              <w:bottom w:w="120" w:type="dxa"/>
              <w:left w:w="160" w:type="dxa"/>
              <w:right w:w="160" w:type="dxa"/>
            </w:tcMar>
            <w:shd w:val="clear" w:color="auto" w:fill="F4F7F9"/>
          </w:tcPr>
          <w:p>
            <w:pPr>
              <w:spacing w:before="40" w:after="40"/>
            </w:pPr>
            <w:r>
              <w:rPr>
                <w:color w:val="2C3E50"/>
                <w:sz w:val="18"/>
              </w:rPr>
              <w:t>None</w:t>
            </w:r>
          </w:p>
        </w:tc>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None</w:t>
            </w:r>
          </w:p>
        </w:tc>
      </w:tr>
      <w:tr>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Color Handling</w:t>
            </w:r>
          </w:p>
        </w:tc>
        <w:tc>
          <w:tcPr>
            <w:tcW w:type="dxa" w:w="1296"/>
            <w:vAlign w:val="center"/>
            <w:tcMar>
              <w:top w:w="120" w:type="dxa"/>
              <w:bottom w:w="120" w:type="dxa"/>
              <w:left w:w="160" w:type="dxa"/>
              <w:right w:w="160" w:type="dxa"/>
            </w:tcMar>
            <w:shd w:val="clear" w:color="auto" w:fill="FFFFFF"/>
          </w:tcPr>
          <w:p>
            <w:pPr>
              <w:spacing w:before="40" w:after="40"/>
            </w:pPr>
            <w:r>
              <w:rPr>
                <w:color w:val="2C3E50"/>
                <w:sz w:val="18"/>
              </w:rPr>
              <w:t>Interpolated</w:t>
            </w:r>
          </w:p>
        </w:tc>
        <w:tc>
          <w:tcPr>
            <w:tcW w:type="dxa" w:w="1584"/>
            <w:vAlign w:val="center"/>
            <w:tcMar>
              <w:top w:w="120" w:type="dxa"/>
              <w:bottom w:w="120" w:type="dxa"/>
              <w:left w:w="160" w:type="dxa"/>
              <w:right w:w="160" w:type="dxa"/>
            </w:tcMar>
            <w:shd w:val="clear" w:color="auto" w:fill="FFFFFF"/>
          </w:tcPr>
          <w:p>
            <w:pPr>
              <w:spacing w:before="40" w:after="40"/>
            </w:pPr>
            <w:r>
              <w:rPr>
                <w:color w:val="2C3E50"/>
                <w:sz w:val="18"/>
              </w:rPr>
              <w:t>Y-channel only</w:t>
            </w:r>
          </w:p>
        </w:tc>
        <w:tc>
          <w:tcPr>
            <w:tcW w:type="dxa" w:w="1728"/>
            <w:vAlign w:val="center"/>
            <w:tcMar>
              <w:top w:w="120" w:type="dxa"/>
              <w:bottom w:w="120" w:type="dxa"/>
              <w:left w:w="160" w:type="dxa"/>
              <w:right w:w="160" w:type="dxa"/>
            </w:tcMar>
            <w:shd w:val="clear" w:color="auto" w:fill="FFFFFF"/>
          </w:tcPr>
          <w:p>
            <w:pPr>
              <w:spacing w:before="40" w:after="40"/>
            </w:pPr>
            <w:r>
              <w:rPr>
                <w:color w:val="2C3E50"/>
                <w:sz w:val="18"/>
              </w:rPr>
              <w:t>Y-channel only</w:t>
            </w:r>
          </w:p>
        </w:tc>
        <w:tc>
          <w:tcPr>
            <w:tcW w:type="dxa" w:w="1728"/>
            <w:vAlign w:val="center"/>
            <w:tcMar>
              <w:top w:w="120" w:type="dxa"/>
              <w:bottom w:w="120" w:type="dxa"/>
              <w:left w:w="160" w:type="dxa"/>
              <w:right w:w="160" w:type="dxa"/>
            </w:tcMar>
            <w:shd w:val="clear" w:color="auto" w:fill="FFFFFF"/>
          </w:tcPr>
          <w:p>
            <w:pPr>
              <w:spacing w:before="40" w:after="40"/>
            </w:pPr>
            <w:r>
              <w:rPr>
                <w:color w:val="2C3E50"/>
                <w:sz w:val="18"/>
              </w:rPr>
              <w:t>Full RGB (unanchored)</w:t>
            </w:r>
          </w:p>
        </w:tc>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YCrCb Chroma-Locked + Zero-Mean</w:t>
            </w:r>
          </w:p>
        </w:tc>
      </w:tr>
      <w:tr>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Receptive Field</w:t>
            </w:r>
          </w:p>
        </w:tc>
        <w:tc>
          <w:tcPr>
            <w:tcW w:type="dxa" w:w="1296"/>
            <w:vAlign w:val="center"/>
            <w:tcMar>
              <w:top w:w="120" w:type="dxa"/>
              <w:bottom w:w="120" w:type="dxa"/>
              <w:left w:w="160" w:type="dxa"/>
              <w:right w:w="160" w:type="dxa"/>
            </w:tcMar>
            <w:shd w:val="clear" w:color="auto" w:fill="F4F7F9"/>
          </w:tcPr>
          <w:p>
            <w:pPr>
              <w:spacing w:before="40" w:after="40"/>
            </w:pPr>
            <w:r>
              <w:rPr>
                <w:color w:val="2C3E50"/>
                <w:sz w:val="18"/>
              </w:rPr>
              <w:t>4 × 4 px</w:t>
            </w:r>
          </w:p>
        </w:tc>
        <w:tc>
          <w:tcPr>
            <w:tcW w:type="dxa" w:w="1584"/>
            <w:vAlign w:val="center"/>
            <w:tcMar>
              <w:top w:w="120" w:type="dxa"/>
              <w:bottom w:w="120" w:type="dxa"/>
              <w:left w:w="160" w:type="dxa"/>
              <w:right w:w="160" w:type="dxa"/>
            </w:tcMar>
            <w:shd w:val="clear" w:color="auto" w:fill="F4F7F9"/>
          </w:tcPr>
          <w:p>
            <w:pPr>
              <w:spacing w:before="40" w:after="40"/>
            </w:pPr>
            <w:r>
              <w:rPr>
                <w:color w:val="2C3E50"/>
                <w:sz w:val="18"/>
              </w:rPr>
              <w:t>9 × 9 px</w:t>
            </w:r>
          </w:p>
        </w:tc>
        <w:tc>
          <w:tcPr>
            <w:tcW w:type="dxa" w:w="1728"/>
            <w:vAlign w:val="center"/>
            <w:tcMar>
              <w:top w:w="120" w:type="dxa"/>
              <w:bottom w:w="120" w:type="dxa"/>
              <w:left w:w="160" w:type="dxa"/>
              <w:right w:w="160" w:type="dxa"/>
            </w:tcMar>
            <w:shd w:val="clear" w:color="auto" w:fill="F4F7F9"/>
          </w:tcPr>
          <w:p>
            <w:pPr>
              <w:spacing w:before="40" w:after="40"/>
            </w:pPr>
            <w:r>
              <w:rPr>
                <w:color w:val="2C3E50"/>
                <w:sz w:val="18"/>
              </w:rPr>
              <w:t>17 × 17 px</w:t>
            </w:r>
          </w:p>
        </w:tc>
        <w:tc>
          <w:tcPr>
            <w:tcW w:type="dxa" w:w="1728"/>
            <w:vAlign w:val="center"/>
            <w:tcMar>
              <w:top w:w="120" w:type="dxa"/>
              <w:bottom w:w="120" w:type="dxa"/>
              <w:left w:w="160" w:type="dxa"/>
              <w:right w:w="160" w:type="dxa"/>
            </w:tcMar>
            <w:shd w:val="clear" w:color="auto" w:fill="F4F7F9"/>
          </w:tcPr>
          <w:p>
            <w:pPr>
              <w:spacing w:before="40" w:after="40"/>
            </w:pPr>
            <w:r>
              <w:rPr>
                <w:color w:val="2C3E50"/>
                <w:sz w:val="18"/>
              </w:rPr>
              <w:t>Large (&gt; 65 × 65 px)</w:t>
            </w:r>
          </w:p>
        </w:tc>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23 × 23 px (230m × 230m ground)</w:t>
            </w:r>
          </w:p>
        </w:tc>
      </w:tr>
      <w:tr>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Edge Loss Supervision</w:t>
            </w:r>
          </w:p>
        </w:tc>
        <w:tc>
          <w:tcPr>
            <w:tcW w:type="dxa" w:w="1296"/>
            <w:vAlign w:val="center"/>
            <w:tcMar>
              <w:top w:w="120" w:type="dxa"/>
              <w:bottom w:w="120" w:type="dxa"/>
              <w:left w:w="160" w:type="dxa"/>
              <w:right w:w="160" w:type="dxa"/>
            </w:tcMar>
            <w:shd w:val="clear" w:color="auto" w:fill="FFFFFF"/>
          </w:tcPr>
          <w:p>
            <w:pPr>
              <w:spacing w:before="40" w:after="40"/>
            </w:pPr>
            <w:r>
              <w:rPr>
                <w:color w:val="2C3E50"/>
                <w:sz w:val="18"/>
              </w:rPr>
              <w:t>None</w:t>
            </w:r>
          </w:p>
        </w:tc>
        <w:tc>
          <w:tcPr>
            <w:tcW w:type="dxa" w:w="1584"/>
            <w:vAlign w:val="center"/>
            <w:tcMar>
              <w:top w:w="120" w:type="dxa"/>
              <w:bottom w:w="120" w:type="dxa"/>
              <w:left w:w="160" w:type="dxa"/>
              <w:right w:w="160" w:type="dxa"/>
            </w:tcMar>
            <w:shd w:val="clear" w:color="auto" w:fill="FFFFFF"/>
          </w:tcPr>
          <w:p>
            <w:pPr>
              <w:spacing w:before="40" w:after="40"/>
            </w:pPr>
            <w:r>
              <w:rPr>
                <w:color w:val="2C3E50"/>
                <w:sz w:val="18"/>
              </w:rPr>
              <w:t>None (L2)</w:t>
            </w:r>
          </w:p>
        </w:tc>
        <w:tc>
          <w:tcPr>
            <w:tcW w:type="dxa" w:w="1728"/>
            <w:vAlign w:val="center"/>
            <w:tcMar>
              <w:top w:w="120" w:type="dxa"/>
              <w:bottom w:w="120" w:type="dxa"/>
              <w:left w:w="160" w:type="dxa"/>
              <w:right w:w="160" w:type="dxa"/>
            </w:tcMar>
            <w:shd w:val="clear" w:color="auto" w:fill="FFFFFF"/>
          </w:tcPr>
          <w:p>
            <w:pPr>
              <w:spacing w:before="40" w:after="40"/>
            </w:pPr>
            <w:r>
              <w:rPr>
                <w:color w:val="2C3E50"/>
                <w:sz w:val="18"/>
              </w:rPr>
              <w:t>None (L2)</w:t>
            </w:r>
          </w:p>
        </w:tc>
        <w:tc>
          <w:tcPr>
            <w:tcW w:type="dxa" w:w="1728"/>
            <w:vAlign w:val="center"/>
            <w:tcMar>
              <w:top w:w="120" w:type="dxa"/>
              <w:bottom w:w="120" w:type="dxa"/>
              <w:left w:w="160" w:type="dxa"/>
              <w:right w:w="160" w:type="dxa"/>
            </w:tcMar>
            <w:shd w:val="clear" w:color="auto" w:fill="FFFFFF"/>
          </w:tcPr>
          <w:p>
            <w:pPr>
              <w:spacing w:before="40" w:after="40"/>
            </w:pPr>
            <w:r>
              <w:rPr>
                <w:color w:val="2C3E50"/>
                <w:sz w:val="18"/>
              </w:rPr>
              <w:t>None (L1)</w:t>
            </w:r>
          </w:p>
        </w:tc>
        <w:tc>
          <w:tcPr>
            <w:tcW w:type="dxa" w:w="2160"/>
            <w:vAlign w:val="center"/>
            <w:tcMar>
              <w:top w:w="120" w:type="dxa"/>
              <w:bottom w:w="120" w:type="dxa"/>
              <w:left w:w="160" w:type="dxa"/>
              <w:right w:w="160" w:type="dxa"/>
            </w:tcMar>
            <w:shd w:val="clear" w:color="auto" w:fill="FFFFFF"/>
          </w:tcPr>
          <w:p>
            <w:pPr>
              <w:spacing w:before="40" w:after="40"/>
            </w:pPr>
            <w:r>
              <w:rPr>
                <w:color w:val="2C3E50"/>
                <w:sz w:val="18"/>
              </w:rPr>
              <w:t>Dedicated Sobel Operator (L_Sobel)</w:t>
            </w:r>
          </w:p>
        </w:tc>
      </w:tr>
      <w:tr>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Uncertainty Quantification</w:t>
            </w:r>
          </w:p>
        </w:tc>
        <w:tc>
          <w:tcPr>
            <w:tcW w:type="dxa" w:w="1296"/>
            <w:vAlign w:val="center"/>
            <w:tcMar>
              <w:top w:w="120" w:type="dxa"/>
              <w:bottom w:w="120" w:type="dxa"/>
              <w:left w:w="160" w:type="dxa"/>
              <w:right w:w="160" w:type="dxa"/>
            </w:tcMar>
            <w:shd w:val="clear" w:color="auto" w:fill="F4F7F9"/>
          </w:tcPr>
          <w:p>
            <w:pPr>
              <w:spacing w:before="40" w:after="40"/>
            </w:pPr>
            <w:r>
              <w:rPr>
                <w:color w:val="2C3E50"/>
                <w:sz w:val="18"/>
              </w:rPr>
              <w:t>None</w:t>
            </w:r>
          </w:p>
        </w:tc>
        <w:tc>
          <w:tcPr>
            <w:tcW w:type="dxa" w:w="1584"/>
            <w:vAlign w:val="center"/>
            <w:tcMar>
              <w:top w:w="120" w:type="dxa"/>
              <w:bottom w:w="120" w:type="dxa"/>
              <w:left w:w="160" w:type="dxa"/>
              <w:right w:w="160" w:type="dxa"/>
            </w:tcMar>
            <w:shd w:val="clear" w:color="auto" w:fill="F4F7F9"/>
          </w:tcPr>
          <w:p>
            <w:pPr>
              <w:spacing w:before="40" w:after="40"/>
            </w:pPr>
            <w:r>
              <w:rPr>
                <w:color w:val="2C3E50"/>
                <w:sz w:val="18"/>
              </w:rPr>
              <w:t>None</w:t>
            </w:r>
          </w:p>
        </w:tc>
        <w:tc>
          <w:tcPr>
            <w:tcW w:type="dxa" w:w="1728"/>
            <w:vAlign w:val="center"/>
            <w:tcMar>
              <w:top w:w="120" w:type="dxa"/>
              <w:bottom w:w="120" w:type="dxa"/>
              <w:left w:w="160" w:type="dxa"/>
              <w:right w:w="160" w:type="dxa"/>
            </w:tcMar>
            <w:shd w:val="clear" w:color="auto" w:fill="F4F7F9"/>
          </w:tcPr>
          <w:p>
            <w:pPr>
              <w:spacing w:before="40" w:after="40"/>
            </w:pPr>
            <w:r>
              <w:rPr>
                <w:color w:val="2C3E50"/>
                <w:sz w:val="18"/>
              </w:rPr>
              <w:t>None</w:t>
            </w:r>
          </w:p>
        </w:tc>
        <w:tc>
          <w:tcPr>
            <w:tcW w:type="dxa" w:w="1728"/>
            <w:vAlign w:val="center"/>
            <w:tcMar>
              <w:top w:w="120" w:type="dxa"/>
              <w:bottom w:w="120" w:type="dxa"/>
              <w:left w:w="160" w:type="dxa"/>
              <w:right w:w="160" w:type="dxa"/>
            </w:tcMar>
            <w:shd w:val="clear" w:color="auto" w:fill="F4F7F9"/>
          </w:tcPr>
          <w:p>
            <w:pPr>
              <w:spacing w:before="40" w:after="40"/>
            </w:pPr>
            <w:r>
              <w:rPr>
                <w:color w:val="2C3E50"/>
                <w:sz w:val="18"/>
              </w:rPr>
              <w:t>None</w:t>
            </w:r>
          </w:p>
        </w:tc>
        <w:tc>
          <w:tcPr>
            <w:tcW w:type="dxa" w:w="2160"/>
            <w:vAlign w:val="center"/>
            <w:tcMar>
              <w:top w:w="120" w:type="dxa"/>
              <w:bottom w:w="120" w:type="dxa"/>
              <w:left w:w="160" w:type="dxa"/>
              <w:right w:w="160" w:type="dxa"/>
            </w:tcMar>
            <w:shd w:val="clear" w:color="auto" w:fill="F4F7F9"/>
          </w:tcPr>
          <w:p>
            <w:pPr>
              <w:spacing w:before="40" w:after="40"/>
            </w:pPr>
            <w:r>
              <w:rPr>
                <w:color w:val="2C3E50"/>
                <w:sz w:val="18"/>
              </w:rPr>
              <w:t>8-Way TTA Variance Heatmap</w:t>
            </w:r>
          </w:p>
        </w:tc>
      </w:tr>
    </w:tbl>
    <w:p>
      <w:pPr>
        <w:pStyle w:val="Heading1"/>
        <w:spacing w:before="360" w:after="160"/>
      </w:pPr>
      <w:r>
        <w:rPr>
          <w:color w:val="0F4C81"/>
        </w:rPr>
        <w:t>5. What Makes Our Custom Model (Sentinel2SRNet) Special?</w:t>
      </w:r>
    </w:p>
    <w:p>
      <w:pPr>
        <w:spacing w:before="120" w:after="80"/>
      </w:pPr>
      <w:r>
        <w:rPr>
          <w:b/>
          <w:color w:val="2980B9"/>
          <w:sz w:val="21"/>
        </w:rPr>
        <w:t>1. Reaching EDSR Edge Acuity at 1/220th the Parameter Footprint:</w:t>
      </w:r>
      <w:r>
        <w:rPr>
          <w:color w:val="2C3E50"/>
          <w:sz w:val="20"/>
        </w:rPr>
        <w:t xml:space="preserve"> EDSR requires 43,000,000 parameters and takes 2,668 ms (~2.7 seconds) per tile on CPU to achieve an edge gain of +3.51. Sentinel2SRNet reaches +3.41 edge gain with only 193,601 parameters and executes in 38.3 ms (70× faster). It is lightweight enough to run smoothly in a real-time interactive browser mapping interface without requiring a dedicated GPU.</w:t>
      </w:r>
    </w:p>
    <w:p>
      <w:pPr>
        <w:spacing w:before="120" w:after="80"/>
      </w:pPr>
      <w:r>
        <w:rPr>
          <w:b/>
          <w:color w:val="2980B9"/>
          <w:sz w:val="21"/>
        </w:rPr>
        <w:t>2. Earth Observation Physics (Satellite Domain Adaptation):</w:t>
      </w:r>
      <w:r>
        <w:rPr>
          <w:color w:val="2C3E50"/>
          <w:sz w:val="20"/>
        </w:rPr>
        <w:t xml:space="preserve"> General models are trained on consumer photographs (portraits, pets, indoor scenes) where blur is isotropic and lighting is artificial. Our model is trained on true satellite transfer physics between Sentinel-2 and VENµS, directly learning how the atmosphere and optical telescope Point Spread Function (PSF) degrade Earth surfaces.</w:t>
      </w:r>
    </w:p>
    <w:p>
      <w:pPr>
        <w:spacing w:before="120" w:after="80"/>
      </w:pPr>
      <w:r>
        <w:rPr>
          <w:b/>
          <w:color w:val="2980B9"/>
          <w:sz w:val="21"/>
        </w:rPr>
        <w:t>3. Absolute Radiometric Conservation (Zero-Mean Constraint):</w:t>
      </w:r>
      <w:r>
        <w:rPr>
          <w:color w:val="2C3E50"/>
          <w:sz w:val="20"/>
        </w:rPr>
        <w:t xml:space="preserve"> Standard deep networks drift in global brightness because their residual output is unconstrained. Shifting brightness by even 2% corrupts vegetation and water index calculations (NDVI, NDWI, EVI). Our model mathematically enforces E[R_zero] = 0 in the PyTorch forward() graph, guaranteeing that the model cannot alter macroscopic illumination, restricting 100% of its parameters to reconstructing spatial geometry and high-frequency boundaries.</w:t>
      </w:r>
    </w:p>
    <w:p>
      <w:pPr>
        <w:spacing w:before="120" w:after="80"/>
      </w:pPr>
      <w:r>
        <w:rPr>
          <w:b/>
          <w:color w:val="2980B9"/>
          <w:sz w:val="21"/>
        </w:rPr>
        <w:t>4. Zero Hallucination Risk for Defense &amp; Geospatial Intelligence:</w:t>
      </w:r>
      <w:r>
        <w:rPr>
          <w:color w:val="2C3E50"/>
          <w:sz w:val="20"/>
        </w:rPr>
        <w:t xml:space="preserve"> Generative Adversarial Networks (GANs) and Diffusion models invent synthetic textures that look visually pleasing but are factually false. Our model uses deterministic regression with paired satellite supervision. Every sharpened boundary corresponds to authentic physical photon reflectance, making it suitable for defense, cadastral property surveys, and disaster assessment.</w:t>
      </w:r>
    </w:p>
    <w:p>
      <w:pPr>
        <w:spacing w:before="120" w:after="80"/>
      </w:pPr>
      <w:r>
        <w:rPr>
          <w:b/>
          <w:color w:val="2980B9"/>
          <w:sz w:val="21"/>
        </w:rPr>
        <w:t>5. Explainability &amp; Uncertainty Quantification:</w:t>
      </w:r>
      <w:r>
        <w:rPr>
          <w:color w:val="2C3E50"/>
          <w:sz w:val="20"/>
        </w:rPr>
        <w:t xml:space="preserve"> Integrated 8-way Geometric Self-Ensemble (TTA) generates a per-pixel Confidence / Variance Heatmap, satisfying the defense and intelligence requirement to flag hallucination risk.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