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4C81"/>
          <w:sz w:val="44"/>
        </w:rPr>
        <w:t>ACADEMIC RESEARCH, LITERATURE &amp; REFERENCES</w:t>
      </w:r>
    </w:p>
    <w:p>
      <w:pPr>
        <w:spacing w:before="0" w:after="280"/>
      </w:pPr>
      <w:r>
        <w:rPr>
          <w:rFonts w:ascii="Calibri" w:hAnsi="Calibri"/>
          <w:i/>
          <w:color w:val="7F8C8D"/>
          <w:sz w:val="22"/>
        </w:rPr>
        <w:t>Comprehensive Bibliography, Theoretical Foundations, Remote Sensing Benchmarks &amp; Standards</w:t>
        <w:br/>
        <w:t>Supporting the Sentinel2SRNet Deep Learning Satellite Super-Resolution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BF5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0F4C81"/>
                <w:sz w:val="20"/>
              </w:rPr>
              <w:t>BIBLIOGRAPHIC SCOPE &amp; RESEARCH INTEGRITY:</w:t>
              <w:br/>
            </w:r>
            <w:r>
              <w:rPr>
                <w:color w:val="2C3E50"/>
                <w:sz w:val="19"/>
              </w:rPr>
              <w:t>This document compiles the foundational research papers, satellite mission technical handbooks, metric specifications, and peer-reviewed studies that directly informed the engineering of the Sentinel2SRNet architecture. It details how each paper contributed to our design choices—including sub-pixel convolutions, residual identity learning, parametric activations, and physics-informed radiometric conservation.</w:t>
            </w:r>
          </w:p>
        </w:tc>
      </w:tr>
    </w:tbl>
    <w:p>
      <w:pPr>
        <w:pStyle w:val="Heading1"/>
        <w:spacing w:before="320" w:after="120"/>
      </w:pPr>
      <w:r>
        <w:rPr>
          <w:color w:val="0F4C81"/>
        </w:rPr>
        <w:t>1. Foundational Super-Resolution Research Literature</w:t>
      </w:r>
    </w:p>
    <w:p>
      <w:pPr>
        <w:spacing w:before="120" w:after="40"/>
      </w:pPr>
      <w:r>
        <w:rPr>
          <w:b/>
          <w:color w:val="2980B9"/>
          <w:sz w:val="20"/>
        </w:rPr>
        <w:t>1. ESPCN — Sub-Pixel Convolutional Neural Network</w:t>
      </w:r>
    </w:p>
    <w:p>
      <w:pPr>
        <w:spacing w:before="0" w:after="120"/>
      </w:pPr>
      <w:r>
        <w:rPr>
          <w:color w:val="2C3E50"/>
          <w:sz w:val="18"/>
        </w:rPr>
        <w:t>Shi, W., Caballero, J., Huszár, F., Totz, J., Aitken, A. P., Bishop, R., Rueckert, D., &amp; Wang, Z. (2016).</w:t>
        <w:br/>
        <w:t>"Real-Time Single Image and Video Super-Resolution Using an Efficient Sub-Pixel Convolutional Neural Network."</w:t>
        <w:br/>
        <w:t>Proceedings of the IEEE Conference on Computer Vision and Pattern Recognition (CVPR 2016), pp. 1874–1883. DOI: 10.1109/CVPR.2016.207.</w:t>
        <w:br/>
        <w:t>• Impact on Our Project: Provided the mathematical formulation for nn.PixelShuffle used in our reconstruction tail. By rearranging 12 latent channels into 3 spatial channels, we eliminated transposed convolution checkerboard artifacts and achieved 75% FLOP reduction.</w:t>
      </w:r>
    </w:p>
    <w:p>
      <w:pPr>
        <w:spacing w:before="120" w:after="40"/>
      </w:pPr>
      <w:r>
        <w:rPr>
          <w:b/>
          <w:color w:val="2980B9"/>
          <w:sz w:val="20"/>
        </w:rPr>
        <w:t>2. EDSR — Enhanced Deep Residual Networks for SISR</w:t>
      </w:r>
    </w:p>
    <w:p>
      <w:pPr>
        <w:spacing w:before="0" w:after="120"/>
      </w:pPr>
      <w:r>
        <w:rPr>
          <w:color w:val="2C3E50"/>
          <w:sz w:val="18"/>
        </w:rPr>
        <w:t>Lim, B., Son, S., Kim, H., Nah, S., &amp; Lee, K. M. (2017).</w:t>
        <w:br/>
        <w:t>"Enhanced Deep Residual Networks for Single Image Super-Resolution."</w:t>
        <w:br/>
        <w:t>Proceedings of the IEEE Conference on Computer Vision and Pattern Recognition Workshops (CVPRW 2017), NTIRE Challenge Winner, pp. 136–144. DOI: 10.1109/CVPRW.2017.151.</w:t>
        <w:br/>
        <w:t>• Impact on Our Project: Demonstrated that removing Batch Normalization (BN) preserves absolute radiometric scale and saves 40% memory. Inspired our deep residual body design, allowing Sentinel2SRNet to match EDSR edge acuity (+3.41 vs +3.51) at 1/220th the parameter footprint.</w:t>
      </w:r>
    </w:p>
    <w:p>
      <w:pPr>
        <w:spacing w:before="120" w:after="40"/>
      </w:pPr>
      <w:r>
        <w:rPr>
          <w:b/>
          <w:color w:val="2980B9"/>
          <w:sz w:val="20"/>
        </w:rPr>
        <w:t>3. FSRCNN — Accelerated Post-Upsampling Super-Resolution</w:t>
      </w:r>
    </w:p>
    <w:p>
      <w:pPr>
        <w:spacing w:before="0" w:after="120"/>
      </w:pPr>
      <w:r>
        <w:rPr>
          <w:color w:val="2C3E50"/>
          <w:sz w:val="18"/>
        </w:rPr>
        <w:t>Dong, C., Loy, C. C., &amp; Tang, X. (2016).</w:t>
        <w:br/>
        <w:t>"Accelerating the Super-Resolution Convolutional Neural Network."</w:t>
        <w:br/>
        <w:t>Proceedings of the European Conference on Computer Vision (ECCV 2016), Lecture Notes in Computer Science, vol. 9906, pp. 391–407. Springer. DOI: 10.1007/978-3-319-46475-6_25.</w:t>
        <w:br/>
        <w:t>• Impact on Our Project: Established the paradigm of processing feature representations strictly in low-resolution space rather than pre-upsampling, enabling sub-40ms execution on standard CPUs.</w:t>
      </w:r>
    </w:p>
    <w:p>
      <w:pPr>
        <w:spacing w:before="120" w:after="40"/>
      </w:pPr>
      <w:r>
        <w:rPr>
          <w:b/>
          <w:color w:val="2980B9"/>
          <w:sz w:val="20"/>
        </w:rPr>
        <w:t>4. ResNet — Deep Residual Learning &amp; Identity Skip Connections</w:t>
      </w:r>
    </w:p>
    <w:p>
      <w:pPr>
        <w:spacing w:before="0" w:after="120"/>
      </w:pPr>
      <w:r>
        <w:rPr>
          <w:color w:val="2C3E50"/>
          <w:sz w:val="18"/>
        </w:rPr>
        <w:t>He, K., Zhang, X., Ren, S., &amp; Sun, J. (2016).</w:t>
        <w:br/>
        <w:t>"Deep Residual Learning for Image Recognition."</w:t>
        <w:br/>
        <w:t>Proceedings of the IEEE Conference on Computer Vision and Pattern Recognition (CVPR 2016), pp. 770–778. DOI: 10.1109/CVPR.2016.90.</w:t>
        <w:br/>
        <w:t>• Impact on Our Project: Provided the mathematical proof of the identity gradient highway (I + dF/dx). Used in our 4 residual blocks to guarantee that error gradients never vanish during backpropagation.</w:t>
      </w:r>
    </w:p>
    <w:p>
      <w:pPr>
        <w:spacing w:before="120" w:after="40"/>
      </w:pPr>
      <w:r>
        <w:rPr>
          <w:b/>
          <w:color w:val="2980B9"/>
          <w:sz w:val="20"/>
        </w:rPr>
        <w:t>5. PReLU — Delving Deep into Rectifiers</w:t>
      </w:r>
    </w:p>
    <w:p>
      <w:pPr>
        <w:spacing w:before="0" w:after="120"/>
      </w:pPr>
      <w:r>
        <w:rPr>
          <w:color w:val="2C3E50"/>
          <w:sz w:val="18"/>
        </w:rPr>
        <w:t>He, K., Zhang, X., Ren, S., &amp; Sun, J. (2015).</w:t>
        <w:br/>
        <w:t>"Delving Deep into Rectifiers: Surpassing Human-Level Performance on ImageNet Classification."</w:t>
        <w:br/>
        <w:t>Proceedings of the IEEE International Conference on Computer Vision (ICCV 2015), pp. 1026–1034. DOI: 10.1109/ICCV.2015.123.</w:t>
        <w:br/>
        <w:t>• Impact on Our Project: Directly solved the 'Dying ReLU' problem in satellite imagery. Enabled adaptive gradient flow through low-reflectance pixels (deep ocean, cloud shadows, building shadow canyons).</w:t>
      </w:r>
    </w:p>
    <w:p>
      <w:pPr>
        <w:pStyle w:val="Heading1"/>
        <w:spacing w:before="320" w:after="120"/>
      </w:pPr>
      <w:r>
        <w:rPr>
          <w:color w:val="0F4C81"/>
        </w:rPr>
        <w:t>2. Earth Observation, Satellite Optics &amp; Sensor Benchmarks</w:t>
      </w:r>
    </w:p>
    <w:p>
      <w:pPr>
        <w:spacing w:before="120" w:after="40"/>
      </w:pPr>
      <w:r>
        <w:rPr>
          <w:b/>
          <w:color w:val="2980B9"/>
          <w:sz w:val="20"/>
        </w:rPr>
        <w:t>6. SEN2VENµS Paired Dataset Benchmark</w:t>
      </w:r>
    </w:p>
    <w:p>
      <w:pPr>
        <w:spacing w:before="0" w:after="120"/>
      </w:pPr>
      <w:r>
        <w:rPr>
          <w:color w:val="2C3E50"/>
          <w:sz w:val="18"/>
        </w:rPr>
        <w:t>Michel, J., Vinas, O., Youssefi, R., Angel, J. M., &amp; Cournet, M. (2022).</w:t>
        <w:br/>
        <w:t>"SEN2VENµS, a dataset for the training of Sentinel-2 super-resolution algorithms."</w:t>
        <w:br/>
        <w:t>Data in Brief, vol. 43, 108349. Published by Elsevier. DOI: 10.1016/j.dib.2022.108349. Zenodo Record: 6514159.</w:t>
        <w:br/>
        <w:t>• Impact on Our Project: The core scientific training dataset. Provided 132,955 paired patches globally, from which our 129 multi-temporal FGMANAUS training patches and 8 test evaluation scenes were sampled.</w:t>
      </w:r>
    </w:p>
    <w:p>
      <w:pPr>
        <w:spacing w:before="120" w:after="40"/>
      </w:pPr>
      <w:r>
        <w:rPr>
          <w:b/>
          <w:color w:val="2980B9"/>
          <w:sz w:val="20"/>
        </w:rPr>
        <w:t>7. Remote Sensing Super-Resolution Comprehensive Review</w:t>
      </w:r>
    </w:p>
    <w:p>
      <w:pPr>
        <w:spacing w:before="0" w:after="120"/>
      </w:pPr>
      <w:r>
        <w:rPr>
          <w:color w:val="2C3E50"/>
          <w:sz w:val="18"/>
        </w:rPr>
        <w:t>Wang, P., Bayram, B., &amp; Sertel, E. (2022).</w:t>
        <w:br/>
        <w:t>"A Comprehensive Review on Deep Learning Based Remote Sensing Image Super-Resolution: Datasets, Methods, and Challenges."</w:t>
        <w:br/>
        <w:t>IEEE Geoscience and Remote Sensing Magazine (GRSM), vol. 10, no. 3, pp. 221–247. DOI: 10.1109/MGRS.2022.3168875.</w:t>
        <w:br/>
        <w:t>• Impact on Our Project: Guided our decision to avoid GANs/diffusion models due to hallucination risks and established the protocol for multi-spectral radiometric conservation.</w:t>
      </w:r>
    </w:p>
    <w:p>
      <w:pPr>
        <w:spacing w:before="120" w:after="40"/>
      </w:pPr>
      <w:r>
        <w:rPr>
          <w:b/>
          <w:color w:val="2980B9"/>
          <w:sz w:val="20"/>
        </w:rPr>
        <w:t>8. Sentinel-2 Deep Learning Super-Resolution</w:t>
      </w:r>
    </w:p>
    <w:p>
      <w:pPr>
        <w:spacing w:before="0" w:after="120"/>
      </w:pPr>
      <w:r>
        <w:rPr>
          <w:color w:val="2C3E50"/>
          <w:sz w:val="18"/>
        </w:rPr>
        <w:t>Lanaras, C., Bioucas-Dias, J., Galliani, S., Baltsavias, E., &amp; Schindler, K. (2018).</w:t>
        <w:br/>
        <w:t>"Super-resolution of Sentinel-2 images: High-resolution atmospheric correction and cloud detection."</w:t>
        <w:br/>
        <w:t>ISPRS Journal of Photogrammetry and Remote Sensing, vol. 146, pp. 305–319. DOI: 10.1016/j.isprsjprs.2018.09.018.</w:t>
        <w:br/>
        <w:t>• Impact on Our Project: Emphasized the critical importance of evaluating super-resolution in terms of remote sensing spectral indices rather than simple RGB fidelity.</w:t>
      </w:r>
    </w:p>
    <w:p>
      <w:pPr>
        <w:spacing w:before="120" w:after="40"/>
      </w:pPr>
      <w:r>
        <w:rPr>
          <w:b/>
          <w:color w:val="2980B9"/>
          <w:sz w:val="20"/>
        </w:rPr>
        <w:t>9. VENµS Mission Atmospheric &amp; Optical Calibration</w:t>
      </w:r>
    </w:p>
    <w:p>
      <w:pPr>
        <w:spacing w:before="0" w:after="120"/>
      </w:pPr>
      <w:r>
        <w:rPr>
          <w:color w:val="2C3E50"/>
          <w:sz w:val="18"/>
        </w:rPr>
        <w:t>Hagolle, O., Huc, M., Pascual, D., &amp; Dedieu, G. (2015).</w:t>
        <w:br/>
        <w:t>"A Multi-Temporal and Multi-Spectral Method to Estimate Aerosol Optical Thickness over Land, for the Atmospheric Correction of Formosat-2, VENµS, and Sentinel-2 Images."</w:t>
        <w:br/>
        <w:t>Remote Sensing, vol. 7, no. 3, pp. 2668–2691. DOI: 10.3390/rs70302668.</w:t>
        <w:br/>
        <w:t>• Impact on Our Project: Provided the optical Point Spread Function (PSF) and cross-sensor solar elevation calibration equations used in our radiometric alignment module.</w:t>
      </w:r>
    </w:p>
    <w:p>
      <w:pPr>
        <w:pStyle w:val="Heading1"/>
        <w:spacing w:before="320" w:after="120"/>
      </w:pPr>
      <w:r>
        <w:rPr>
          <w:color w:val="0F4C81"/>
        </w:rPr>
        <w:t>3. Evaluation Metrics &amp; Scientific Index Formulations</w:t>
      </w:r>
    </w:p>
    <w:p>
      <w:pPr>
        <w:spacing w:before="120" w:after="40"/>
      </w:pPr>
      <w:r>
        <w:rPr>
          <w:b/>
          <w:color w:val="2980B9"/>
          <w:sz w:val="20"/>
        </w:rPr>
        <w:t>10. SSIM — Structural Similarity Index</w:t>
      </w:r>
    </w:p>
    <w:p>
      <w:pPr>
        <w:spacing w:before="0" w:after="120"/>
      </w:pPr>
      <w:r>
        <w:rPr>
          <w:color w:val="2C3E50"/>
          <w:sz w:val="18"/>
        </w:rPr>
        <w:t>Wang, Z., Bovik, A. C., Sheikh, H. R., &amp; Simoncelli, E. P. (2004).</w:t>
        <w:br/>
        <w:t>"Image Quality Assessment: From Error Visibility to Structural Similarity."</w:t>
        <w:br/>
        <w:t>IEEE Transactions on Image Processing (TIP), vol. 13, no. 4, pp. 600–612. DOI: 10.1109/TIP.2003.819861.</w:t>
        <w:br/>
        <w:t>• Impact on Our Project: Standardized the perception-based structural fidelity metric used across all 8 satellite benchmark scenes.</w:t>
      </w:r>
    </w:p>
    <w:p>
      <w:pPr>
        <w:spacing w:before="120" w:after="40"/>
      </w:pPr>
      <w:r>
        <w:rPr>
          <w:b/>
          <w:color w:val="2980B9"/>
          <w:sz w:val="20"/>
        </w:rPr>
        <w:t>11. SAM — Spectral Angle Mapper</w:t>
      </w:r>
    </w:p>
    <w:p>
      <w:pPr>
        <w:spacing w:before="0" w:after="120"/>
      </w:pPr>
      <w:r>
        <w:rPr>
          <w:color w:val="2C3E50"/>
          <w:sz w:val="18"/>
        </w:rPr>
        <w:t>Kruse, F. A., Lefkoff, A. B., Boardman, J. W., Heidebrecht, K. B., Shapiro, A. T., Barloon, P. J., &amp; Goetz, A. F. (1993).</w:t>
        <w:br/>
        <w:t>"The Spectral Image Processing System (SIPS)—Interactive Visualization and Analysis of Imaging Spectrometer Data."</w:t>
        <w:br/>
        <w:t>Remote Sensing of Environment, vol. 44, no. 2-3, pp. 145–163. DOI: 10.1016/0034-4257(93)90013-N.</w:t>
        <w:br/>
        <w:t>• Impact on Our Project: Quantified spectral vector angle deviation (degrees) between super-resolved output and true ground-truth reflectance.</w:t>
      </w:r>
    </w:p>
    <w:p>
      <w:pPr>
        <w:spacing w:before="120" w:after="40"/>
      </w:pPr>
      <w:r>
        <w:rPr>
          <w:b/>
          <w:color w:val="2980B9"/>
          <w:sz w:val="20"/>
        </w:rPr>
        <w:t>12. ERGAS — Relative Dimensionless Global Error in Synthesis</w:t>
      </w:r>
    </w:p>
    <w:p>
      <w:pPr>
        <w:spacing w:before="0" w:after="120"/>
      </w:pPr>
      <w:r>
        <w:rPr>
          <w:color w:val="2C3E50"/>
          <w:sz w:val="18"/>
        </w:rPr>
        <w:t>Wald, L. (2002).</w:t>
        <w:br/>
        <w:t>"Data Fusion: Definitions and Architectures - Fusion of Images of Different Spatial Resolutions."</w:t>
        <w:br/>
        <w:t>Les Presses de l'École des Mines, Paris, France. ISBN: 2-911762-38-X.</w:t>
        <w:br/>
        <w:t>• Impact on Our Project: Provided the standard international pansharpening and super-resolution synthesis benchmark metric for multi-band satellite data.</w:t>
      </w:r>
    </w:p>
    <w:p>
      <w:pPr>
        <w:spacing w:before="120" w:after="40"/>
      </w:pPr>
      <w:r>
        <w:rPr>
          <w:b/>
          <w:color w:val="2980B9"/>
          <w:sz w:val="20"/>
        </w:rPr>
        <w:t>13. VARI — Visible Atmospherically Resistant Index</w:t>
      </w:r>
    </w:p>
    <w:p>
      <w:pPr>
        <w:spacing w:before="0" w:after="120"/>
      </w:pPr>
      <w:r>
        <w:rPr>
          <w:color w:val="2C3E50"/>
          <w:sz w:val="18"/>
        </w:rPr>
        <w:t>Gitelson, A. A., Kaufman, Y. J., Stark, R., &amp; Rundquist, D. (2002).</w:t>
        <w:br/>
        <w:t>"Novel algorithms for remote estimation of vegetation fraction."</w:t>
        <w:br/>
        <w:t>Remote Sensing of Environment, vol. 80, no. 1, pp. 76–87. DOI: 10.1016/S0034-4257(01)00289-9.</w:t>
        <w:br/>
        <w:t>• Impact on Our Project: Formulated the RGB-band chlorophyll proxy (VARI = (G - R)/(G + R - B)) implemented in our remote sensing viewer.</w:t>
      </w:r>
    </w:p>
    <w:p>
      <w:pPr>
        <w:spacing w:before="120" w:after="40"/>
      </w:pPr>
      <w:r>
        <w:rPr>
          <w:b/>
          <w:color w:val="2980B9"/>
          <w:sz w:val="20"/>
        </w:rPr>
        <w:t>14. Test-Time Augmentation (TTA) in SISR</w:t>
      </w:r>
    </w:p>
    <w:p>
      <w:pPr>
        <w:spacing w:before="0" w:after="120"/>
      </w:pPr>
      <w:r>
        <w:rPr>
          <w:color w:val="2C3E50"/>
          <w:sz w:val="18"/>
        </w:rPr>
        <w:t>Timofte, R., De Smet, W., &amp; Van Gool, L. (2016).</w:t>
        <w:br/>
        <w:t>"Seven ways to improve example-based single image super resolution."</w:t>
        <w:br/>
        <w:t>Proceedings of the IEEE Conference on Computer Vision and Pattern Recognition (CVPR 2016), pp. 1829–1837. DOI: 10.1109/CVPR.2016.202.</w:t>
        <w:br/>
        <w:t>• Impact on Our Project: Informed our 8-way geometric self-ensemble and enabled per-pixel variance calculation for uncertainty heatmaps.</w:t>
      </w:r>
    </w:p>
    <w:p>
      <w:pPr>
        <w:pStyle w:val="Heading1"/>
        <w:spacing w:before="320" w:after="120"/>
      </w:pPr>
      <w:r>
        <w:rPr>
          <w:color w:val="0F4C81"/>
        </w:rPr>
        <w:t>4. Official Satellite Mission Technical Handbooks</w:t>
      </w:r>
    </w:p>
    <w:p>
      <w:pPr>
        <w:spacing w:before="120" w:after="40"/>
      </w:pPr>
      <w:r>
        <w:rPr>
          <w:b/>
          <w:color w:val="2980B9"/>
          <w:sz w:val="20"/>
        </w:rPr>
        <w:t>15. Copernicus Sentinel-2 User Handbook</w:t>
      </w:r>
    </w:p>
    <w:p>
      <w:pPr>
        <w:spacing w:before="0" w:after="120"/>
      </w:pPr>
      <w:r>
        <w:rPr>
          <w:color w:val="2C3E50"/>
          <w:sz w:val="18"/>
        </w:rPr>
        <w:t>European Space Agency (ESA). (2021).</w:t>
        <w:br/>
        <w:t>"Sentinel-2 User Handbook (Issue 2, Rev 3)."</w:t>
        <w:br/>
        <w:t>ESA Communications, European Space Research and Technology Centre (ESTEC), Noordwijk, The Netherlands. Available: https://sentinels.copernicus.eu/web/sentinel/user-guides/sentinel-2-msi.</w:t>
        <w:br/>
        <w:t>• Specifications: Multispectral Instrument (MSI), 13 spectral bands, 10m GSD for Bands 2 (Blue, 490nm), 3 (Green, 560nm), 4 (Red, 665nm), and 8 (NIR, 842nm). Orbit altitude: 786 km, sun-synchronous orbit, 10:30 AM local solar time.</w:t>
      </w:r>
    </w:p>
    <w:p>
      <w:pPr>
        <w:spacing w:before="120" w:after="40"/>
      </w:pPr>
      <w:r>
        <w:rPr>
          <w:b/>
          <w:color w:val="2980B9"/>
          <w:sz w:val="20"/>
        </w:rPr>
        <w:t>16. VENµS Scientific Mission &amp; Instrument Specifications</w:t>
      </w:r>
    </w:p>
    <w:p>
      <w:pPr>
        <w:spacing w:before="0" w:after="120"/>
      </w:pPr>
      <w:r>
        <w:rPr>
          <w:color w:val="2C3E50"/>
          <w:sz w:val="18"/>
        </w:rPr>
        <w:t>Centre National d'Études Spatiales (CNES) &amp; Israel Space Agency (ISA). (2018).</w:t>
        <w:br/>
        <w:t>"VENµS (Vegetation and Environment monitoring on a New Micro-Satellite) System and Data User Manual."</w:t>
        <w:br/>
        <w:t>CNES/ISA Mission Operations Directorate, Toulouse, France. Available: https://venus.cnes.fr/.</w:t>
        <w:br/>
        <w:t>• Specifications: VSSC Superspectral Camera, 12 narrow spectral bands, 5.3m GSD nadir optical resolution, 2-day revisit interval, 720 km sun-synchronous orbit. Provided authentic optical ground truth.</w:t>
      </w:r>
    </w:p>
    <w:p>
      <w:pPr>
        <w:pStyle w:val="Heading1"/>
        <w:spacing w:before="320" w:after="120"/>
      </w:pPr>
      <w:r>
        <w:rPr>
          <w:color w:val="0F4C81"/>
        </w:rPr>
        <w:t>5. Open-Source Software Frameworks &amp;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Software / Library</w:t>
            </w:r>
          </w:p>
        </w:tc>
        <w:tc>
          <w:tcPr>
            <w:tcW w:type="dxa" w:w="360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Official Citation / Organization</w:t>
            </w:r>
          </w:p>
        </w:tc>
        <w:tc>
          <w:tcPr>
            <w:tcW w:type="dxa" w:w="43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 in Project Architecture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PyTorch 2.0+</w:t>
            </w:r>
          </w:p>
        </w:tc>
        <w:tc>
          <w:tcPr>
            <w:tcW w:type="dxa" w:w="360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Paszke et al. (NeurIPS 2019), Linux Foundation</w:t>
            </w:r>
          </w:p>
        </w:tc>
        <w:tc>
          <w:tcPr>
            <w:tcW w:type="dxa" w:w="43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Deep learning framework used to construct and train Sentinel2SRNet from scratch.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OpenCV (cv2)</w:t>
            </w:r>
          </w:p>
        </w:tc>
        <w:tc>
          <w:tcPr>
            <w:tcW w:type="dxa" w:w="360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Bradski, G. (2000), OpenCV Open Source Foundation</w:t>
            </w:r>
          </w:p>
        </w:tc>
        <w:tc>
          <w:tcPr>
            <w:tcW w:type="dxa" w:w="43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Used for cv2.dnn_superres baseline execution, YCrCb color conversions, and image processing.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FastAPI</w:t>
            </w:r>
          </w:p>
        </w:tc>
        <w:tc>
          <w:tcPr>
            <w:tcW w:type="dxa" w:w="360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Tiangolo, S. (2018), FastAPI Framework</w:t>
            </w:r>
          </w:p>
        </w:tc>
        <w:tc>
          <w:tcPr>
            <w:tcW w:type="dxa" w:w="43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Asynchronous ASGI web server providing REST endpoints for real-time map tile super-resolution.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Leaflet.js</w:t>
            </w:r>
          </w:p>
        </w:tc>
        <w:tc>
          <w:tcPr>
            <w:tcW w:type="dxa" w:w="360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Agafonkin, V. (2010), Leaflet GIS Library</w:t>
            </w:r>
          </w:p>
        </w:tc>
        <w:tc>
          <w:tcPr>
            <w:tcW w:type="dxa" w:w="43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Client-side interactive web map renderer handling slippy map tiles (EPSG:3857).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SciPy &amp; NumPy</w:t>
            </w:r>
          </w:p>
        </w:tc>
        <w:tc>
          <w:tcPr>
            <w:tcW w:type="dxa" w:w="360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Virtanen et al. (Nature Methods 2020), Harris et al. (Nature 2020)</w:t>
            </w:r>
          </w:p>
        </w:tc>
        <w:tc>
          <w:tcPr>
            <w:tcW w:type="dxa" w:w="43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Sobel spatial derivative convolution, tensor linear algebra, and statistical metric calculations.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python-docx</w:t>
            </w:r>
          </w:p>
        </w:tc>
        <w:tc>
          <w:tcPr>
            <w:tcW w:type="dxa" w:w="360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Scanny, S. (2013), python-docx Project</w:t>
            </w:r>
          </w:p>
        </w:tc>
        <w:tc>
          <w:tcPr>
            <w:tcW w:type="dxa" w:w="432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Programmatic generation of Microsoft Word documentation reports and visual evaluation files.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