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0F4C81"/>
          <w:sz w:val="44"/>
        </w:rPr>
        <w:t>TECHNICAL APPROACH &amp; ARCHITECTURE SPECIFICATION</w:t>
      </w:r>
    </w:p>
    <w:p>
      <w:pPr>
        <w:spacing w:before="0" w:after="280"/>
      </w:pPr>
      <w:r>
        <w:rPr>
          <w:rFonts w:ascii="Calibri" w:hAnsi="Calibri"/>
          <w:i/>
          <w:color w:val="7F8C8D"/>
          <w:sz w:val="22"/>
        </w:rPr>
        <w:t>Smart India Hackathon 2025 | Satellite Super-Resolution Project Architecture</w:t>
        <w:br/>
        <w:t>End-to-End Deep Learning Pipeline from Raw 10m Sentinel-2 to 5m / 2.5m Ground Resolution</w:t>
      </w:r>
    </w:p>
    <w:p>
      <w:pPr>
        <w:spacing w:before="120" w:after="280"/>
        <w:jc w:val="center"/>
      </w:pPr>
      <w:r>
        <w:drawing>
          <wp:inline xmlns:a="http://schemas.openxmlformats.org/drawingml/2006/main" xmlns:pic="http://schemas.openxmlformats.org/drawingml/2006/picture">
            <wp:extent cx="6400800" cy="35401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cal_approach_pos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40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320"/>
        <w:jc w:val="center"/>
      </w:pPr>
      <w:r>
        <w:rPr>
          <w:i/>
          <w:color w:val="7F8C8D"/>
          <w:sz w:val="18"/>
        </w:rPr>
        <w:t>Figure 1: Complete Technical Approach Flowchart &amp; Tech Stack Diagram (Matching Presentation Format)</w:t>
      </w:r>
    </w:p>
    <w:p>
      <w:pPr>
        <w:pStyle w:val="Heading1"/>
        <w:spacing w:before="280" w:after="120"/>
      </w:pPr>
      <w:r>
        <w:rPr>
          <w:color w:val="0F4C81"/>
        </w:rPr>
        <w:t>1. Executive Summary &amp; Problem Resolution</w:t>
      </w:r>
    </w:p>
    <w:p>
      <w:r>
        <w:rPr>
          <w:color w:val="2C3E50"/>
          <w:sz w:val="19"/>
        </w:rPr>
        <w:t>Medium-resolution satellite imagery (such as the 10-meter bands of the European Space Agency Copernicus Sentinel-2 satellite) provides frequent revisit times and planetary coverage, but its optical resolution is insufficient for fine-scale analysis: small building footprints, narrow roads, and field boundaries appear blurred. Launching higher-resolution satellites costs hundreds of millions of dollars.</w:t>
        <w:br/>
        <w:br/>
        <w:t>Our solution deploys an advanced deep-learning super-resolution architecture (Sentinel2SRNet) and an interactive Web GIS Studio that mathematically super-resolves 10m imagery into 5m resolution (a 4-fold increase in pixel density) and cascades up to 2.5m (sub-4m Ground Sampling Distance) at zero hardware cost.</w:t>
        <w:br/>
        <w:t>The architecture is bifurcated into three distinct operational modes based on deployment constraints:</w:t>
      </w:r>
    </w:p>
    <w:p>
      <w:pPr>
        <w:pStyle w:val="Heading1"/>
        <w:spacing w:before="320" w:after="120"/>
      </w:pPr>
      <w:r>
        <w:rPr>
          <w:color w:val="0F4C81"/>
        </w:rPr>
        <w:t>2. Operational Workflow A: Offline Scientific Benchmark Mode</w:t>
      </w:r>
    </w:p>
    <w:p>
      <w:r>
        <w:rPr>
          <w:sz w:val="19"/>
        </w:rPr>
        <w:t>Designed for scientific validation, local verification, and offline defense environments with zero internet access:</w:t>
      </w:r>
    </w:p>
    <w:p>
      <w:pPr>
        <w:pStyle w:val="ListBullet"/>
        <w:spacing w:before="40" w:after="40"/>
      </w:pPr>
      <w:r>
        <w:rPr>
          <w:b/>
          <w:sz w:val="19"/>
        </w:rPr>
        <w:t xml:space="preserve">Step 1: Load Ground Truth Dataset: </w:t>
      </w:r>
      <w:r>
        <w:rPr>
          <w:sz w:val="19"/>
        </w:rPr>
        <w:t>Ingests paired multi-temporal SEN2VENµS dataset patches (10m Sentinel-2 vs. 5m VENµS ground truth across 4 revisit dates).</w:t>
      </w:r>
    </w:p>
    <w:p>
      <w:pPr>
        <w:pStyle w:val="ListBullet"/>
        <w:spacing w:before="40" w:after="40"/>
      </w:pPr>
      <w:r>
        <w:rPr>
          <w:b/>
          <w:sz w:val="19"/>
        </w:rPr>
        <w:t xml:space="preserve">Step 2: Preprocessing &amp; Percentile Stretch: </w:t>
      </w:r>
      <w:r>
        <w:rPr>
          <w:sz w:val="19"/>
        </w:rPr>
        <w:t>Normalizes 16-bit satellite reflectance tensors to [0.0, 1.0] using 2% to 98% percentile clipping to preserve high dynamic range radiometric depth.</w:t>
      </w:r>
    </w:p>
    <w:p>
      <w:pPr>
        <w:pStyle w:val="ListBullet"/>
        <w:spacing w:before="40" w:after="40"/>
      </w:pPr>
      <w:r>
        <w:rPr>
          <w:b/>
          <w:sz w:val="19"/>
        </w:rPr>
        <w:t xml:space="preserve">Step 3: Cross-Sensor Radiometric Alignment: </w:t>
      </w:r>
      <w:r>
        <w:rPr>
          <w:sz w:val="19"/>
        </w:rPr>
        <w:t>Normalizes the VENµS target's mean and standard deviation to match the Sentinel-2 base, eliminating sensor illumination shortcuts.</w:t>
      </w:r>
    </w:p>
    <w:p>
      <w:pPr>
        <w:pStyle w:val="ListBullet"/>
        <w:spacing w:before="40" w:after="40"/>
      </w:pPr>
      <w:r>
        <w:rPr>
          <w:b/>
          <w:sz w:val="19"/>
        </w:rPr>
        <w:t xml:space="preserve">Step 4: PyTorch Model Execution: </w:t>
      </w:r>
      <w:r>
        <w:rPr>
          <w:sz w:val="19"/>
        </w:rPr>
        <w:t>Passes the 10m input through Sentinel2SRNet (11 Conv layers, 4 Residual Blocks, PReLU) in ~38.3 ms on CPU.</w:t>
      </w:r>
    </w:p>
    <w:p>
      <w:pPr>
        <w:pStyle w:val="ListBullet"/>
        <w:spacing w:before="40" w:after="40"/>
      </w:pPr>
      <w:r>
        <w:rPr>
          <w:b/>
          <w:sz w:val="19"/>
        </w:rPr>
        <w:t xml:space="preserve">Step 5: Sub-Pixel Convolution (PixelShuffle): </w:t>
      </w:r>
      <w:r>
        <w:rPr>
          <w:sz w:val="19"/>
        </w:rPr>
        <w:t>Reassembles 12 latent feature channels into 3 spatial RGB channels at 2x spatial scale without checkerboard artifacts.</w:t>
      </w:r>
    </w:p>
    <w:p>
      <w:pPr>
        <w:pStyle w:val="ListBullet"/>
        <w:spacing w:before="40" w:after="40"/>
      </w:pPr>
      <w:r>
        <w:rPr>
          <w:b/>
          <w:sz w:val="19"/>
        </w:rPr>
        <w:t xml:space="preserve">Step 6: Zero-Mean Spatial Residual Projection: </w:t>
      </w:r>
      <w:r>
        <w:rPr>
          <w:sz w:val="19"/>
        </w:rPr>
        <w:t>Applies residual = residual - mean(residual), mathematically proving E[I_SR] = E[I_base] and locking global color balance.</w:t>
      </w:r>
    </w:p>
    <w:p>
      <w:pPr>
        <w:pStyle w:val="ListBullet"/>
        <w:spacing w:before="40" w:after="40"/>
      </w:pPr>
      <w:r>
        <w:rPr>
          <w:b/>
          <w:sz w:val="19"/>
        </w:rPr>
        <w:t xml:space="preserve">Step 7: Composite Loss Optimization: </w:t>
      </w:r>
      <w:r>
        <w:rPr>
          <w:sz w:val="19"/>
        </w:rPr>
        <w:t>Evaluates predictions using L1 content loss + 2.5*Sobel edge loss + 5.0*radiometric drift penalty.</w:t>
      </w:r>
    </w:p>
    <w:p>
      <w:pPr>
        <w:pStyle w:val="ListBullet"/>
        <w:spacing w:before="40" w:after="40"/>
      </w:pPr>
      <w:r>
        <w:rPr>
          <w:b/>
          <w:sz w:val="19"/>
        </w:rPr>
        <w:t xml:space="preserve">Step 8: Multi-Metric Evaluation Engine: </w:t>
      </w:r>
      <w:r>
        <w:rPr>
          <w:sz w:val="19"/>
        </w:rPr>
        <w:t>Computes textual metrics (PSNR, SSIM, MAE), edge metrics (Sobel Energy Gain), and spectral metrics (SAM in degrees, ERGAS).</w:t>
      </w:r>
    </w:p>
    <w:p>
      <w:pPr>
        <w:pStyle w:val="ListBullet"/>
        <w:spacing w:before="40" w:after="40"/>
      </w:pPr>
      <w:r>
        <w:rPr>
          <w:b/>
          <w:sz w:val="19"/>
        </w:rPr>
        <w:t xml:space="preserve">Step 9: Baseline Comparison Benchmarking: </w:t>
      </w:r>
      <w:r>
        <w:rPr>
          <w:sz w:val="19"/>
        </w:rPr>
        <w:t>Executes identical test passes against open-source baselines (FSRCNN, ESPCN, EDSR, and Bicubic).</w:t>
      </w:r>
    </w:p>
    <w:p>
      <w:pPr>
        <w:pStyle w:val="ListBullet"/>
        <w:spacing w:before="40" w:after="40"/>
      </w:pPr>
      <w:r>
        <w:rPr>
          <w:b/>
          <w:sz w:val="19"/>
        </w:rPr>
        <w:t xml:space="preserve">Step 10: Automated Multi-Format Report Generation: </w:t>
      </w:r>
      <w:r>
        <w:rPr>
          <w:sz w:val="19"/>
        </w:rPr>
        <w:t>Generates high-resolution 3-panel comparison images and compiles comprehensive Word (.docx) and Markdown inspection reports.</w:t>
      </w:r>
    </w:p>
    <w:p>
      <w:pPr>
        <w:pStyle w:val="Heading1"/>
        <w:spacing w:before="320" w:after="120"/>
      </w:pPr>
      <w:r>
        <w:rPr>
          <w:color w:val="0F4C81"/>
        </w:rPr>
        <w:t>3. Operational Workflow B: Online Live Web GIS Studio</w:t>
      </w:r>
    </w:p>
    <w:p>
      <w:r>
        <w:rPr>
          <w:sz w:val="19"/>
        </w:rPr>
        <w:t>Powers the interactive web interface, allowing users to pan globally and enhance satellite imagery on demand:</w:t>
      </w:r>
    </w:p>
    <w:p>
      <w:pPr>
        <w:pStyle w:val="ListBullet"/>
        <w:spacing w:before="40" w:after="40"/>
      </w:pPr>
      <w:r>
        <w:rPr>
          <w:b/>
          <w:sz w:val="19"/>
        </w:rPr>
        <w:t xml:space="preserve">Step 1: Leaflet.js Slippy Map Interaction: </w:t>
      </w:r>
      <w:r>
        <w:rPr>
          <w:sz w:val="19"/>
        </w:rPr>
        <w:t>The user pans/zooms on the browser map or clicks preset benchmark coordinates (Paris, Versailles, Manaus, Bordeaux, etc.).</w:t>
      </w:r>
    </w:p>
    <w:p>
      <w:pPr>
        <w:pStyle w:val="ListBullet"/>
        <w:spacing w:before="40" w:after="40"/>
      </w:pPr>
      <w:r>
        <w:rPr>
          <w:b/>
          <w:sz w:val="19"/>
        </w:rPr>
        <w:t xml:space="preserve">Step 2: FastAPI REST Tile Request: </w:t>
      </w:r>
      <w:r>
        <w:rPr>
          <w:sz w:val="19"/>
        </w:rPr>
        <w:t>The frontend sends a GET/POST request to /api/sr/predict-tile with zoom level, X/Y tile coordinates, and model selection.</w:t>
      </w:r>
    </w:p>
    <w:p>
      <w:pPr>
        <w:pStyle w:val="ListBullet"/>
        <w:spacing w:before="40" w:after="40"/>
      </w:pPr>
      <w:r>
        <w:rPr>
          <w:b/>
          <w:sz w:val="19"/>
        </w:rPr>
        <w:t xml:space="preserve">Step 3: Multi-Tier Cache Layer: </w:t>
      </w:r>
      <w:r>
        <w:rPr>
          <w:sz w:val="19"/>
        </w:rPr>
        <w:t>Checks in-memory LRU cache (128 entries) -&gt; local disk cache -&gt; upstream Esri/Sentinel-2 WMTS with exponential retry backoff.</w:t>
      </w:r>
    </w:p>
    <w:p>
      <w:pPr>
        <w:pStyle w:val="ListBullet"/>
        <w:spacing w:before="40" w:after="40"/>
      </w:pPr>
      <w:r>
        <w:rPr>
          <w:b/>
          <w:sz w:val="19"/>
        </w:rPr>
        <w:t xml:space="preserve">Step 4: Real-Time PyTorch Inference: </w:t>
      </w:r>
      <w:r>
        <w:rPr>
          <w:sz w:val="19"/>
        </w:rPr>
        <w:t>Executes the forward pass in ~38ms on CPU. All convolution occurs in low-resolution space for maximum responsiveness.</w:t>
      </w:r>
    </w:p>
    <w:p>
      <w:pPr>
        <w:pStyle w:val="ListBullet"/>
        <w:spacing w:before="40" w:after="40"/>
      </w:pPr>
      <w:r>
        <w:rPr>
          <w:b/>
          <w:sz w:val="19"/>
        </w:rPr>
        <w:t xml:space="preserve">Step 5: Radiometrically Calibrated Chroma Engine: </w:t>
      </w:r>
      <w:r>
        <w:rPr>
          <w:sz w:val="19"/>
        </w:rPr>
        <w:t>Separates YCrCb channels, applies Point Spread Function (PSF) MTF restoration on Y, locks original chroma, and normalizes RGB white balance.</w:t>
      </w:r>
    </w:p>
    <w:p>
      <w:pPr>
        <w:pStyle w:val="ListBullet"/>
        <w:spacing w:before="40" w:after="40"/>
      </w:pPr>
      <w:r>
        <w:rPr>
          <w:b/>
          <w:sz w:val="19"/>
        </w:rPr>
        <w:t xml:space="preserve">Step 6: Interactive Before/After Split-Screen View: </w:t>
      </w:r>
      <w:r>
        <w:rPr>
          <w:sz w:val="19"/>
        </w:rPr>
        <w:t>Streams base64 PNG tiles to Leaflet, rendering an interactive swipe-curtain split screen and a difference heatmap.</w:t>
      </w:r>
    </w:p>
    <w:p>
      <w:pPr>
        <w:pStyle w:val="Heading1"/>
        <w:spacing w:before="320" w:after="120"/>
      </w:pPr>
      <w:r>
        <w:rPr>
          <w:color w:val="0F4C81"/>
        </w:rPr>
        <w:t>4. Operational Workflow C: Defense Intelligence &amp; Multispectral Mode</w:t>
      </w:r>
    </w:p>
    <w:p>
      <w:r>
        <w:rPr>
          <w:sz w:val="19"/>
        </w:rPr>
        <w:t>Provides high-assurance intelligence analysis for military, cadastral survey, and environmental disaster monitoring:</w:t>
      </w:r>
    </w:p>
    <w:p>
      <w:pPr>
        <w:pStyle w:val="ListBullet"/>
        <w:spacing w:before="40" w:after="40"/>
      </w:pPr>
      <w:r>
        <w:rPr>
          <w:b/>
          <w:sz w:val="19"/>
        </w:rPr>
        <w:t xml:space="preserve">Step 1: High-Precision Mode Trigger: </w:t>
      </w:r>
      <w:r>
        <w:rPr>
          <w:sz w:val="19"/>
        </w:rPr>
        <w:t>The analyst selects Cascaded 4x Super-Resolution or enables the 8-Way Test-Time Augmentation (TTA) toggle.</w:t>
      </w:r>
    </w:p>
    <w:p>
      <w:pPr>
        <w:pStyle w:val="ListBullet"/>
        <w:spacing w:before="40" w:after="40"/>
      </w:pPr>
      <w:r>
        <w:rPr>
          <w:b/>
          <w:sz w:val="19"/>
        </w:rPr>
        <w:t xml:space="preserve">Step 2: 8-Way Dihedral Transformations: </w:t>
      </w:r>
      <w:r>
        <w:rPr>
          <w:sz w:val="19"/>
        </w:rPr>
        <w:t>The input tensor is transformed across 8 geometric variants (4 orthogonal rotations: 0°, 90°, 180°, 270° and 4 horizontal flips).</w:t>
      </w:r>
    </w:p>
    <w:p>
      <w:pPr>
        <w:pStyle w:val="ListBullet"/>
        <w:spacing w:before="40" w:after="40"/>
      </w:pPr>
      <w:r>
        <w:rPr>
          <w:b/>
          <w:sz w:val="19"/>
        </w:rPr>
        <w:t xml:space="preserve">Step 3: Self-Ensemble Prediction &amp; Inversion: </w:t>
      </w:r>
      <w:r>
        <w:rPr>
          <w:sz w:val="19"/>
        </w:rPr>
        <w:t>Each variant passes through the neural network; outputs are mathematically inverted back to the original orientation and pixel-averaged.</w:t>
      </w:r>
    </w:p>
    <w:p>
      <w:pPr>
        <w:pStyle w:val="ListBullet"/>
        <w:spacing w:before="40" w:after="40"/>
      </w:pPr>
      <w:r>
        <w:rPr>
          <w:b/>
          <w:sz w:val="19"/>
        </w:rPr>
        <w:t xml:space="preserve">Step 4: Per-Pixel Uncertainty Quantification: </w:t>
      </w:r>
      <w:r>
        <w:rPr>
          <w:sz w:val="19"/>
        </w:rPr>
        <w:t>Calculates the sample variance across all 8 ensemble passes, generating a per-pixel Confidence / Uncertainty Heatmap (Green = High Confidence, Red = High Uncertainty) to flag hallucination risk.</w:t>
      </w:r>
    </w:p>
    <w:p>
      <w:pPr>
        <w:pStyle w:val="ListBullet"/>
        <w:spacing w:before="40" w:after="40"/>
      </w:pPr>
      <w:r>
        <w:rPr>
          <w:b/>
          <w:sz w:val="19"/>
        </w:rPr>
        <w:t xml:space="preserve">Step 5: Multispectral Remote Sensing Proxies: </w:t>
      </w:r>
      <w:r>
        <w:rPr>
          <w:sz w:val="19"/>
        </w:rPr>
        <w:t>Computes False-Color Infrared (CIR - mapping vegetation to crimson, urban concrete to cyan) and VARI (Visible Atmospherically Resistant Index proxy for NDVI).</w:t>
      </w:r>
    </w:p>
    <w:p>
      <w:pPr>
        <w:pStyle w:val="ListBullet"/>
        <w:spacing w:before="40" w:after="40"/>
      </w:pPr>
      <w:r>
        <w:rPr>
          <w:b/>
          <w:sz w:val="19"/>
        </w:rPr>
        <w:t xml:space="preserve">Step 6: Cascaded 2.5m GSD Sub-4m Generation: </w:t>
      </w:r>
      <w:r>
        <w:rPr>
          <w:sz w:val="19"/>
        </w:rPr>
        <w:t>Cascades Stage 1 (10m -&gt; 5m) into Stage 2 (5m -&gt; 2.5m), generating sub-4m ground resolution to resolve vehicle corridors, secondary roads, and building outlines.</w:t>
      </w:r>
    </w:p>
    <w:p>
      <w:pPr>
        <w:pStyle w:val="Heading1"/>
        <w:spacing w:before="320" w:after="120"/>
      </w:pPr>
      <w:r>
        <w:rPr>
          <w:color w:val="0F4C81"/>
        </w:rPr>
        <w:t>5. Comprehensive Tech Stack &amp; Technologies Used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9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val="clear" w:color="auto" w:fill="0F4C81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Layer / Domain</w:t>
            </w:r>
          </w:p>
        </w:tc>
        <w:tc>
          <w:tcPr>
            <w:tcW w:type="dxa" w:w="3456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val="clear" w:color="auto" w:fill="0F4C81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Technologies &amp; Libraries</w:t>
            </w:r>
          </w:p>
        </w:tc>
        <w:tc>
          <w:tcPr>
            <w:tcW w:type="dxa" w:w="403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val="clear" w:color="auto" w:fill="0F4C81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Role in System Architecture</w:t>
            </w:r>
          </w:p>
        </w:tc>
      </w:tr>
      <w:tr>
        <w:tc>
          <w:tcPr>
            <w:tcW w:type="dxa" w:w="259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Deep Learning &amp; AI Core</w:t>
            </w:r>
          </w:p>
        </w:tc>
        <w:tc>
          <w:tcPr>
            <w:tcW w:type="dxa" w:w="3456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PyTorch 2.0+, Torchvision, Sentinel2SRNet (193k params)</w:t>
            </w:r>
          </w:p>
        </w:tc>
        <w:tc>
          <w:tcPr>
            <w:tcW w:type="dxa" w:w="403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Core convolutional neural network, residual blocks, PReLU activation, sub-pixel shuffle upsampling, and 8-way TTA inference.</w:t>
            </w:r>
          </w:p>
        </w:tc>
      </w:tr>
      <w:tr>
        <w:tc>
          <w:tcPr>
            <w:tcW w:type="dxa" w:w="259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Computer Vision &amp; Remote Sensing</w:t>
            </w:r>
          </w:p>
        </w:tc>
        <w:tc>
          <w:tcPr>
            <w:tcW w:type="dxa" w:w="3456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OpenCV (cv2, dnn_superres), NumPy, SciPy (ndimage.sobel), PIL</w:t>
            </w:r>
          </w:p>
        </w:tc>
        <w:tc>
          <w:tcPr>
            <w:tcW w:type="dxa" w:w="403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Baseline models (FSRCNN, ESPCN, EDSR), image decoding, Sobel edge gradient computation, PSF MTF deblurring, and SAM/ERGAS metric calculation.</w:t>
            </w:r>
          </w:p>
        </w:tc>
      </w:tr>
      <w:tr>
        <w:tc>
          <w:tcPr>
            <w:tcW w:type="dxa" w:w="259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Backend &amp; API Engine</w:t>
            </w:r>
          </w:p>
        </w:tc>
        <w:tc>
          <w:tcPr>
            <w:tcW w:type="dxa" w:w="3456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Python 3.12, FastAPI, Uvicorn, Pydantic, Requests</w:t>
            </w:r>
          </w:p>
        </w:tc>
        <w:tc>
          <w:tcPr>
            <w:tcW w:type="dxa" w:w="403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High-performance asynchronous REST API server, request validation, tile coordinate math (deg2num), and multi-tier disk/LRU caching.</w:t>
            </w:r>
          </w:p>
        </w:tc>
      </w:tr>
      <w:tr>
        <w:tc>
          <w:tcPr>
            <w:tcW w:type="dxa" w:w="259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Frontend &amp; Web GIS</w:t>
            </w:r>
          </w:p>
        </w:tc>
        <w:tc>
          <w:tcPr>
            <w:tcW w:type="dxa" w:w="3456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HTML5, CSS3, JavaScript (ES6+), Leaflet.js, OpenStreetMap / Esri</w:t>
            </w:r>
          </w:p>
        </w:tc>
        <w:tc>
          <w:tcPr>
            <w:tcW w:type="dxa" w:w="403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Interactive mapping interface, split-screen swipe comparison slider, coordinate search, dynamic heatmap rendering, and model switcher.</w:t>
            </w:r>
          </w:p>
        </w:tc>
      </w:tr>
      <w:tr>
        <w:tc>
          <w:tcPr>
            <w:tcW w:type="dxa" w:w="259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Datasets &amp; Scientific Benchmarks</w:t>
            </w:r>
          </w:p>
        </w:tc>
        <w:tc>
          <w:tcPr>
            <w:tcW w:type="dxa" w:w="3456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SEN2VENµS Paired Dataset (CNES/ESA/Zenodo), Sentinel-2 MSI, VENµS VSSC</w:t>
            </w:r>
          </w:p>
        </w:tc>
        <w:tc>
          <w:tcPr>
            <w:tcW w:type="dxa" w:w="403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Authentic 10m/5m paired satellite training data, multi-temporal revisits (Manaus, Versailles, Bordeaux, Gironde), and ground-truth validation.</w:t>
            </w:r>
          </w:p>
        </w:tc>
      </w:tr>
      <w:tr>
        <w:tc>
          <w:tcPr>
            <w:tcW w:type="dxa" w:w="259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Deployment &amp; DevOps</w:t>
            </w:r>
          </w:p>
        </w:tc>
        <w:tc>
          <w:tcPr>
            <w:tcW w:type="dxa" w:w="3456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Docker, Docker Compose, Windows PowerShell scripts, start.bat</w:t>
            </w:r>
          </w:p>
        </w:tc>
        <w:tc>
          <w:tcPr>
            <w:tcW w:type="dxa" w:w="403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val="clear" w:color="auto" w:fill="F4F7F9"/>
          </w:tcPr>
          <w:p>
            <w:pPr>
              <w:spacing w:before="40" w:after="40"/>
            </w:pPr>
            <w:r>
              <w:rPr>
                <w:color w:val="2C3E50"/>
                <w:sz w:val="18"/>
              </w:rPr>
              <w:t>Containerized microservice deployment with health checks, automated local startup scripts, and offline fallback mechanisms.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