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buyer-feedback-audit-april-14-2026"/>
    <w:p>
      <w:pPr>
        <w:pStyle w:val="Heading1"/>
      </w:pPr>
      <w:r>
        <w:t xml:space="preserve">Buyer Feedback Audit (April 14, 2026)</w:t>
      </w:r>
    </w:p>
    <w:p>
      <w:pPr>
        <w:pStyle w:val="FirstParagraph"/>
      </w:pPr>
      <w:r>
        <w:t xml:space="preserve">This audit maps only the buyer-requested items from the shared chat messages and marks each one as</w:t>
      </w:r>
      <w:r>
        <w:t xml:space="preserve"> </w:t>
      </w:r>
      <w:r>
        <w:rPr>
          <w:b/>
          <w:bCs/>
        </w:rPr>
        <w:t xml:space="preserve">Implemented</w:t>
      </w:r>
      <w:r>
        <w:t xml:space="preserve">,</w:t>
      </w:r>
      <w:r>
        <w:t xml:space="preserve"> </w:t>
      </w:r>
      <w:r>
        <w:rPr>
          <w:b/>
          <w:bCs/>
        </w:rPr>
        <w:t xml:space="preserve">Partial</w:t>
      </w:r>
      <w:r>
        <w:t xml:space="preserve">, or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 </w:t>
      </w:r>
      <w:r>
        <w:t xml:space="preserve">based on current code behavior.</w:t>
      </w:r>
    </w:p>
    <w:bookmarkStart w:id="9" w:name="feature-status-chart"/>
    <w:p>
      <w:pPr>
        <w:pStyle w:val="Heading2"/>
      </w:pPr>
      <w:r>
        <w:t xml:space="preserve">Feature Status Chart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"/>
        <w:gridCol w:w="3013"/>
        <w:gridCol w:w="430"/>
        <w:gridCol w:w="4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Buyer request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Dark mode selected color should be blue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Account type selected state is blue in light/dark (</w:t>
            </w:r>
            <w:r>
              <w:rPr>
                <w:rStyle w:val="VerbatimChar"/>
              </w:rPr>
              <w:t xml:space="preserve">text-[var(--gt-blue)]</w:t>
            </w:r>
            <w:r>
              <w:t xml:space="preserve">, blue-tinted dark bg).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 logo should be better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Floating assistant uses dedicated</w:t>
            </w:r>
            <w:r>
              <w:t xml:space="preserve"> </w:t>
            </w:r>
            <w:r>
              <w:rPr>
                <w:rStyle w:val="VerbatimChar"/>
              </w:rPr>
              <w:t xml:space="preserve">BotLogo</w:t>
            </w:r>
            <w:r>
              <w:t xml:space="preserve"> </w:t>
            </w:r>
            <w:r>
              <w:t xml:space="preserve">component for launcher and header icon.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Password should be visible + confirm password 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Signup has</w:t>
            </w:r>
            <w:r>
              <w:t xml:space="preserve"> </w:t>
            </w:r>
            <w:r>
              <w:rPr>
                <w:rStyle w:val="VerbatimChar"/>
              </w:rPr>
              <w:t xml:space="preserve">Show/Hide</w:t>
            </w:r>
            <w:r>
              <w:t xml:space="preserve"> </w:t>
            </w:r>
            <w:r>
              <w:t xml:space="preserve">for password and confirm password with mismatch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Account type should open as clean dropdown (not always show 3 options)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Signup uses custom</w:t>
            </w:r>
            <w:r>
              <w:t xml:space="preserve"> </w:t>
            </w:r>
            <w:r>
              <w:rPr>
                <w:rStyle w:val="VerbatimChar"/>
              </w:rPr>
              <w:t xml:space="preserve">RoleSelect</w:t>
            </w:r>
            <w:r>
              <w:t xml:space="preserve"> </w:t>
            </w:r>
            <w:r>
              <w:t xml:space="preserve">dropdown toggle with arrow + listbox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Country should support typed suggestion/autocomplete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Signup uses</w:t>
            </w:r>
            <w:r>
              <w:t xml:space="preserve"> </w:t>
            </w:r>
            <w:r>
              <w:rPr>
                <w:rStyle w:val="VerbatimChar"/>
              </w:rPr>
              <w:t xml:space="preserve">CountryAutocomplete</w:t>
            </w:r>
            <w:r>
              <w:t xml:space="preserve"> </w:t>
            </w:r>
            <w:r>
              <w:t xml:space="preserve">filtered suggestion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 dark mode, “Already have an account” should be visible/highlighted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Login link has dark text/background classes for contrast.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“View Plan” button should jump to subscription plans section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Hash navigation support (</w:t>
            </w:r>
            <w:r>
              <w:rPr>
                <w:rStyle w:val="VerbatimChar"/>
              </w:rPr>
              <w:t xml:space="preserve">#plans</w:t>
            </w:r>
            <w:r>
              <w:t xml:space="preserve">) + pricing page auto-scroll by hash.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Form labels (Full name, Email, Password, Confirm Password, Account Type) should stay visible in dark 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Labels use</w:t>
            </w:r>
            <w:r>
              <w:t xml:space="preserve"> </w:t>
            </w:r>
            <w:r>
              <w:rPr>
                <w:rStyle w:val="VerbatimChar"/>
              </w:rPr>
              <w:t xml:space="preserve">dark:text-slate-200</w:t>
            </w:r>
            <w:r>
              <w:t xml:space="preserve">; inputs use dark backgrounds with readable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Account type clicked option text in dark mode should be blue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Selected role option text explicitly uses brand blue variable.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Back button should have arrow icon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BackButton</w:t>
            </w:r>
            <w:r>
              <w:t xml:space="preserve"> </w:t>
            </w:r>
            <w:r>
              <w:t xml:space="preserve">includes left arrow SVG icon +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Account type default should show Buyer + dropdown arrow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Signup form defaults</w:t>
            </w:r>
            <w:r>
              <w:t xml:space="preserve"> </w:t>
            </w:r>
            <w:r>
              <w:rPr>
                <w:rStyle w:val="VerbatimChar"/>
              </w:rPr>
              <w:t xml:space="preserve">primaryRole: 'buyer'</w:t>
            </w:r>
            <w:r>
              <w:t xml:space="preserve">; RoleSelect renders arrow and current label.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Country list can include all countries but not Israel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BUYER_COUNTRY_OPTIONS</w:t>
            </w:r>
            <w:r>
              <w:t xml:space="preserve"> </w:t>
            </w:r>
            <w:r>
              <w:t xml:space="preserve">list excludes Israel.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Step validation should block illogical/too-short input before moving next step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Onboarding validates image URL and min organization length, but buyer’s deeper “logical content/quantity format” rules are not fully enforced everywhere.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Bot actually works / cross icon works and should not appear broken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Cross icon exists and assistant UI is wired to WebSocket. Runtime uptime depends on backend WS availability; code-level UI is present.</w:t>
            </w:r>
          </w:p>
        </w:tc>
      </w:tr>
    </w:tbl>
    <w:bookmarkEnd w:id="9"/>
    <w:bookmarkStart w:id="10" w:name="Xafbba8eb16012fda6d6bf2e941e07f11cdfacd7"/>
    <w:p>
      <w:pPr>
        <w:pStyle w:val="Heading2"/>
      </w:pPr>
      <w:r>
        <w:t xml:space="preserve">Backend Completion Status (now fully added)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login by identifier (email/Agent ID):</w:t>
      </w:r>
      <w:r>
        <w:t xml:space="preserve"> </w:t>
      </w:r>
      <w:r>
        <w:t xml:space="preserve">Implemented on backend (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and resolves email/member_id).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Partner-network backend endpoints:</w:t>
      </w:r>
      <w:r>
        <w:t xml:space="preserve"> </w:t>
      </w:r>
      <w:r>
        <w:t xml:space="preserve">Implemented with list/create/accept/reject/cancel, plus incoming list and disconnect endpoint.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Buyer-request schema extensions + validation:</w:t>
      </w:r>
      <w:r>
        <w:t xml:space="preserve"> </w:t>
      </w:r>
      <w:r>
        <w:t xml:space="preserve">Implemented in backend normalization + structured validation pipeline.</w:t>
      </w:r>
    </w:p>
    <w:bookmarkEnd w:id="10"/>
    <w:bookmarkStart w:id="11" w:name="new-buyer-additions-april-2026-update"/>
    <w:p>
      <w:pPr>
        <w:pStyle w:val="Heading2"/>
      </w:pPr>
      <w:r>
        <w:t xml:space="preserve">New Buyer Additions (April 2026 update)</w:t>
      </w:r>
    </w:p>
    <w:p>
      <w:pPr>
        <w:pStyle w:val="Compact"/>
        <w:numPr>
          <w:ilvl w:val="0"/>
          <w:numId w:val="1002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Order Type</w:t>
      </w:r>
      <w:r>
        <w:t xml:space="preserve"> </w:t>
      </w:r>
      <w:r>
        <w:t xml:space="preserve">in buyer request flow with two options:</w:t>
      </w:r>
      <w:r>
        <w:t xml:space="preserve"> </w:t>
      </w:r>
      <w:r>
        <w:rPr>
          <w:rStyle w:val="VerbatimChar"/>
        </w:rPr>
        <w:t xml:space="preserve">Sample 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 Order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Added sample order statuses:</w:t>
      </w:r>
      <w:r>
        <w:t xml:space="preserve"> </w:t>
      </w:r>
      <w:r>
        <w:rPr>
          <w:rStyle w:val="VerbatimChar"/>
        </w:rPr>
        <w:t xml:space="preserve">sample_requested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sample_rejected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Convert to Main Order</w:t>
      </w:r>
      <w:r>
        <w:t xml:space="preserve"> </w:t>
      </w:r>
      <w:r>
        <w:t xml:space="preserve">action button for sample orders.</w:t>
      </w:r>
    </w:p>
    <w:p>
      <w:pPr>
        <w:pStyle w:val="Compact"/>
        <w:numPr>
          <w:ilvl w:val="0"/>
          <w:numId w:val="1002"/>
        </w:numPr>
      </w:pPr>
      <w:r>
        <w:t xml:space="preserve">Added buyer verification UX note for required documents: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EU:</w:t>
      </w:r>
      <w:r>
        <w:t xml:space="preserve"> </w:t>
      </w:r>
      <w:r>
        <w:t xml:space="preserve">Business Registration + VAT + EORI + Bank proof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USA:</w:t>
      </w:r>
      <w:r>
        <w:t xml:space="preserve"> </w:t>
      </w:r>
      <w:r>
        <w:t xml:space="preserve">Business Registration + EIN + IOR + Bank proof</w:t>
      </w:r>
    </w:p>
    <w:p>
      <w:pPr>
        <w:pStyle w:val="Compact"/>
        <w:numPr>
          <w:ilvl w:val="0"/>
          <w:numId w:val="1002"/>
        </w:numPr>
      </w:pPr>
      <w:r>
        <w:t xml:space="preserve">Added visible</w:t>
      </w:r>
      <w:r>
        <w:t xml:space="preserve"> </w:t>
      </w:r>
      <w:r>
        <w:rPr>
          <w:b/>
          <w:bCs/>
        </w:rPr>
        <w:t xml:space="preserve">EU country list</w:t>
      </w:r>
      <w:r>
        <w:t xml:space="preserve"> </w:t>
      </w:r>
      <w:r>
        <w:t xml:space="preserve">in buyer verification page.</w:t>
      </w:r>
    </w:p>
    <w:bookmarkEnd w:id="11"/>
    <w:bookmarkStart w:id="14" w:name="Xc207d7c5ceb2593a76805a719abc67bb68ee979"/>
    <w:p>
      <w:pPr>
        <w:pStyle w:val="Heading2"/>
      </w:pPr>
      <w:r>
        <w:t xml:space="preserve">Error/Warning Audit + Fixes Applied in This Update</w:t>
      </w:r>
    </w:p>
    <w:bookmarkStart w:id="12" w:name="fixed-in-code"/>
    <w:p>
      <w:pPr>
        <w:pStyle w:val="Heading3"/>
      </w:pPr>
      <w:r>
        <w:t xml:space="preserve">Fixed in code</w:t>
      </w:r>
    </w:p>
    <w:p>
      <w:pPr>
        <w:pStyle w:val="Compact"/>
        <w:numPr>
          <w:ilvl w:val="0"/>
          <w:numId w:val="1004"/>
        </w:numPr>
      </w:pPr>
      <w:r>
        <w:t xml:space="preserve">Removed impure ID generation pattern (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) from assistant send flow and replaced with deterministic request counter.</w:t>
      </w:r>
    </w:p>
    <w:p>
      <w:pPr>
        <w:pStyle w:val="Compact"/>
        <w:numPr>
          <w:ilvl w:val="0"/>
          <w:numId w:val="1004"/>
        </w:numPr>
      </w:pPr>
      <w:r>
        <w:t xml:space="preserve">Refactored country autocomplete to avoid effect-driven state sync warning.</w:t>
      </w:r>
    </w:p>
    <w:p>
      <w:pPr>
        <w:pStyle w:val="Compact"/>
        <w:numPr>
          <w:ilvl w:val="0"/>
          <w:numId w:val="1004"/>
        </w:numPr>
      </w:pPr>
      <w:r>
        <w:t xml:space="preserve">Cleaned onboarding URL validation catch block and removed stale eslint directive warning.</w:t>
      </w:r>
    </w:p>
    <w:p>
      <w:pPr>
        <w:pStyle w:val="Compact"/>
        <w:numPr>
          <w:ilvl w:val="0"/>
          <w:numId w:val="1004"/>
        </w:numPr>
      </w:pPr>
      <w:r>
        <w:t xml:space="preserve">Added stable hash dependency handling in pricing hash-scroll effect.</w:t>
      </w:r>
    </w:p>
    <w:bookmarkEnd w:id="12"/>
    <w:bookmarkStart w:id="13" w:name="current-command-outcomes"/>
    <w:p>
      <w:pPr>
        <w:pStyle w:val="Heading3"/>
      </w:pPr>
      <w:r>
        <w:t xml:space="preserve">Current command outcomes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now passes with no lint errors/warnings.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still has DB-dependent failures (remote Prisma/Postgres host not reachable in this environment); these are infrastructure/runtime, not frontend lint issues.</w:t>
      </w:r>
    </w:p>
    <w:bookmarkEnd w:id="13"/>
    <w:bookmarkEnd w:id="14"/>
    <w:bookmarkStart w:id="27" w:name="Xea1e4a803907b575279089b94e48dcf519b8f56"/>
    <w:p>
      <w:pPr>
        <w:pStyle w:val="Heading2"/>
      </w:pPr>
      <w:r>
        <w:t xml:space="preserve">Consolidated Policy Addendum (Added from latest buyer notes)</w:t>
      </w:r>
    </w:p>
    <w:p>
      <w:pPr>
        <w:pStyle w:val="FirstParagraph"/>
      </w:pPr>
      <w:r>
        <w:t xml:space="preserve">This section captures the latest strategic guidance as product policy so it is not lost across chat transcripts.</w:t>
      </w:r>
    </w:p>
    <w:bookmarkStart w:id="15" w:name="a-verification-badge-policy"/>
    <w:p>
      <w:pPr>
        <w:pStyle w:val="Heading3"/>
      </w:pPr>
      <w:r>
        <w:t xml:space="preserve">A) Verification Badge Policy</w:t>
      </w:r>
    </w:p>
    <w:p>
      <w:pPr>
        <w:pStyle w:val="Compact"/>
        <w:numPr>
          <w:ilvl w:val="0"/>
          <w:numId w:val="1006"/>
        </w:numPr>
      </w:pPr>
      <w:r>
        <w:t xml:space="preserve">Verification is document-based and backend-approved.</w:t>
      </w:r>
    </w:p>
    <w:p>
      <w:pPr>
        <w:pStyle w:val="Compact"/>
        <w:numPr>
          <w:ilvl w:val="0"/>
          <w:numId w:val="1006"/>
        </w:numPr>
      </w:pPr>
      <w:r>
        <w:t xml:space="preserve">After verification approval, each approved license must be shown by name with a check marker and a visible verified label in sequence.</w:t>
      </w:r>
    </w:p>
    <w:p>
      <w:pPr>
        <w:pStyle w:val="Compact"/>
        <w:numPr>
          <w:ilvl w:val="0"/>
          <w:numId w:val="1006"/>
        </w:numPr>
      </w:pPr>
      <w:r>
        <w:t xml:space="preserve">Verified status is subscription-based only.</w:t>
      </w:r>
    </w:p>
    <w:p>
      <w:pPr>
        <w:pStyle w:val="Compact"/>
        <w:numPr>
          <w:ilvl w:val="0"/>
          <w:numId w:val="1006"/>
        </w:numPr>
      </w:pPr>
      <w:r>
        <w:t xml:space="preserve">Permanent/lifetime purchase of verified status is not allowed.</w:t>
      </w:r>
    </w:p>
    <w:p>
      <w:pPr>
        <w:pStyle w:val="Compact"/>
        <w:numPr>
          <w:ilvl w:val="0"/>
          <w:numId w:val="1006"/>
        </w:numPr>
      </w:pPr>
      <w:r>
        <w:t xml:space="preserve">Verification must renew monthly.</w:t>
      </w:r>
    </w:p>
    <w:bookmarkEnd w:id="15"/>
    <w:bookmarkStart w:id="18" w:name="Xcdbbac4b39100dfa0e85704ef8be0033f473546"/>
    <w:p>
      <w:pPr>
        <w:pStyle w:val="Heading3"/>
      </w:pPr>
      <w:r>
        <w:t xml:space="preserve">B) Mandatory Verification Documents by Role</w:t>
      </w:r>
    </w:p>
    <w:bookmarkStart w:id="16" w:name="factory-6"/>
    <w:p>
      <w:pPr>
        <w:pStyle w:val="Heading4"/>
      </w:pPr>
      <w:r>
        <w:t xml:space="preserve">Factory (6)</w:t>
      </w:r>
    </w:p>
    <w:p>
      <w:pPr>
        <w:pStyle w:val="Compact"/>
        <w:numPr>
          <w:ilvl w:val="0"/>
          <w:numId w:val="1007"/>
        </w:numPr>
      </w:pPr>
      <w:r>
        <w:t xml:space="preserve">Company Registration (Registrar of Joint Stock Companies and Firms)</w:t>
      </w:r>
    </w:p>
    <w:p>
      <w:pPr>
        <w:pStyle w:val="Compact"/>
        <w:numPr>
          <w:ilvl w:val="0"/>
          <w:numId w:val="1007"/>
        </w:numPr>
      </w:pPr>
      <w:r>
        <w:t xml:space="preserve">Trade License</w:t>
      </w:r>
    </w:p>
    <w:p>
      <w:pPr>
        <w:pStyle w:val="Compact"/>
        <w:numPr>
          <w:ilvl w:val="0"/>
          <w:numId w:val="1007"/>
        </w:numPr>
      </w:pPr>
      <w:r>
        <w:t xml:space="preserve">TIN (National Board of Revenue)</w:t>
      </w:r>
    </w:p>
    <w:p>
      <w:pPr>
        <w:pStyle w:val="Compact"/>
        <w:numPr>
          <w:ilvl w:val="0"/>
          <w:numId w:val="1007"/>
        </w:numPr>
      </w:pPr>
      <w:r>
        <w:t xml:space="preserve">Authorized Person NID</w:t>
      </w:r>
    </w:p>
    <w:p>
      <w:pPr>
        <w:pStyle w:val="Compact"/>
        <w:numPr>
          <w:ilvl w:val="0"/>
          <w:numId w:val="1007"/>
        </w:numPr>
      </w:pPr>
      <w:r>
        <w:t xml:space="preserve">Company Bank Proof</w:t>
      </w:r>
    </w:p>
    <w:p>
      <w:pPr>
        <w:pStyle w:val="Compact"/>
        <w:numPr>
          <w:ilvl w:val="0"/>
          <w:numId w:val="1007"/>
        </w:numPr>
      </w:pPr>
      <w:r>
        <w:t xml:space="preserve">ERC (Office of the Chief Controller of Imports and Exports)</w:t>
      </w:r>
    </w:p>
    <w:p>
      <w:pPr>
        <w:pStyle w:val="FirstParagraph"/>
      </w:pPr>
      <w:r>
        <w:t xml:space="preserve">Purpose: legal entity proof, active business proof, tax validity, accountable person identification, payment destination safety, export legality.</w:t>
      </w:r>
    </w:p>
    <w:bookmarkEnd w:id="16"/>
    <w:bookmarkStart w:id="17" w:name="buying-house-5"/>
    <w:p>
      <w:pPr>
        <w:pStyle w:val="Heading4"/>
      </w:pPr>
      <w:r>
        <w:t xml:space="preserve">Buying House (5)</w:t>
      </w:r>
    </w:p>
    <w:p>
      <w:pPr>
        <w:pStyle w:val="Compact"/>
        <w:numPr>
          <w:ilvl w:val="0"/>
          <w:numId w:val="1008"/>
        </w:numPr>
      </w:pPr>
      <w:r>
        <w:t xml:space="preserve">Company Registration</w:t>
      </w:r>
    </w:p>
    <w:p>
      <w:pPr>
        <w:pStyle w:val="Compact"/>
        <w:numPr>
          <w:ilvl w:val="0"/>
          <w:numId w:val="1008"/>
        </w:numPr>
      </w:pPr>
      <w:r>
        <w:t xml:space="preserve">Trade License</w:t>
      </w:r>
    </w:p>
    <w:p>
      <w:pPr>
        <w:pStyle w:val="Compact"/>
        <w:numPr>
          <w:ilvl w:val="0"/>
          <w:numId w:val="1008"/>
        </w:numPr>
      </w:pPr>
      <w:r>
        <w:t xml:space="preserve">TIN</w:t>
      </w:r>
    </w:p>
    <w:p>
      <w:pPr>
        <w:pStyle w:val="Compact"/>
        <w:numPr>
          <w:ilvl w:val="0"/>
          <w:numId w:val="1008"/>
        </w:numPr>
      </w:pPr>
      <w:r>
        <w:t xml:space="preserve">Authorized Person NID</w:t>
      </w:r>
    </w:p>
    <w:p>
      <w:pPr>
        <w:pStyle w:val="Compact"/>
        <w:numPr>
          <w:ilvl w:val="0"/>
          <w:numId w:val="1008"/>
        </w:numPr>
      </w:pPr>
      <w:r>
        <w:t xml:space="preserve">Company Bank Proof</w:t>
      </w:r>
    </w:p>
    <w:p>
      <w:pPr>
        <w:pStyle w:val="FirstParagraph"/>
      </w:pPr>
      <w:r>
        <w:t xml:space="preserve">Purpose: legal validity, active business proof, tax validity, accountable person identification, transaction transparency.</w:t>
      </w:r>
    </w:p>
    <w:bookmarkEnd w:id="17"/>
    <w:bookmarkEnd w:id="18"/>
    <w:bookmarkStart w:id="21" w:name="X174ac0e5769372a559ef9adc5f8794510b735ef"/>
    <w:p>
      <w:pPr>
        <w:pStyle w:val="Heading3"/>
      </w:pPr>
      <w:r>
        <w:t xml:space="preserve">C) Buyer Verification Requirements (by market)</w:t>
      </w:r>
    </w:p>
    <w:bookmarkStart w:id="19" w:name="eu"/>
    <w:p>
      <w:pPr>
        <w:pStyle w:val="Heading4"/>
      </w:pPr>
      <w:r>
        <w:t xml:space="preserve">EU</w:t>
      </w:r>
    </w:p>
    <w:p>
      <w:pPr>
        <w:pStyle w:val="Compact"/>
        <w:numPr>
          <w:ilvl w:val="0"/>
          <w:numId w:val="1009"/>
        </w:numPr>
      </w:pPr>
      <w:r>
        <w:t xml:space="preserve">Business Registration</w:t>
      </w:r>
    </w:p>
    <w:p>
      <w:pPr>
        <w:pStyle w:val="Compact"/>
        <w:numPr>
          <w:ilvl w:val="0"/>
          <w:numId w:val="1009"/>
        </w:numPr>
      </w:pPr>
      <w:r>
        <w:t xml:space="preserve">VAT Number</w:t>
      </w:r>
    </w:p>
    <w:p>
      <w:pPr>
        <w:pStyle w:val="Compact"/>
        <w:numPr>
          <w:ilvl w:val="0"/>
          <w:numId w:val="1009"/>
        </w:numPr>
      </w:pPr>
      <w:r>
        <w:t xml:space="preserve">EORI</w:t>
      </w:r>
    </w:p>
    <w:p>
      <w:pPr>
        <w:pStyle w:val="Compact"/>
        <w:numPr>
          <w:ilvl w:val="0"/>
          <w:numId w:val="1009"/>
        </w:numPr>
      </w:pPr>
      <w:r>
        <w:t xml:space="preserve">Bank Proof</w:t>
      </w:r>
    </w:p>
    <w:bookmarkEnd w:id="19"/>
    <w:bookmarkStart w:id="20" w:name="usa"/>
    <w:p>
      <w:pPr>
        <w:pStyle w:val="Heading4"/>
      </w:pPr>
      <w:r>
        <w:t xml:space="preserve">USA</w:t>
      </w:r>
    </w:p>
    <w:p>
      <w:pPr>
        <w:pStyle w:val="Compact"/>
        <w:numPr>
          <w:ilvl w:val="0"/>
          <w:numId w:val="1010"/>
        </w:numPr>
      </w:pPr>
      <w:r>
        <w:t xml:space="preserve">Business Registration</w:t>
      </w:r>
    </w:p>
    <w:p>
      <w:pPr>
        <w:pStyle w:val="Compact"/>
        <w:numPr>
          <w:ilvl w:val="0"/>
          <w:numId w:val="1010"/>
        </w:numPr>
      </w:pPr>
      <w:r>
        <w:t xml:space="preserve">EIN</w:t>
      </w:r>
    </w:p>
    <w:p>
      <w:pPr>
        <w:pStyle w:val="Compact"/>
        <w:numPr>
          <w:ilvl w:val="0"/>
          <w:numId w:val="1010"/>
        </w:numPr>
      </w:pPr>
      <w:r>
        <w:t xml:space="preserve">IOR</w:t>
      </w:r>
    </w:p>
    <w:p>
      <w:pPr>
        <w:pStyle w:val="Compact"/>
        <w:numPr>
          <w:ilvl w:val="0"/>
          <w:numId w:val="1010"/>
        </w:numPr>
      </w:pPr>
      <w:r>
        <w:t xml:space="preserve">Bank Proof</w:t>
      </w:r>
    </w:p>
    <w:bookmarkEnd w:id="20"/>
    <w:bookmarkEnd w:id="21"/>
    <w:bookmarkStart w:id="22" w:name="Xb8bf5874ac3bb428dc9a089385d2c664d0cffff"/>
    <w:p>
      <w:pPr>
        <w:pStyle w:val="Heading3"/>
      </w:pPr>
      <w:r>
        <w:t xml:space="preserve">D) EU Country List (for Buyer Verification UX)</w:t>
      </w:r>
    </w:p>
    <w:p>
      <w:pPr>
        <w:pStyle w:val="FirstParagraph"/>
      </w:pPr>
      <w:r>
        <w:t xml:space="preserve">The buyer verification form should support/label EU requirements for these countries:</w:t>
      </w:r>
    </w:p>
    <w:p>
      <w:pPr>
        <w:pStyle w:val="Compact"/>
        <w:numPr>
          <w:ilvl w:val="0"/>
          <w:numId w:val="1011"/>
        </w:numPr>
      </w:pPr>
      <w:r>
        <w:t xml:space="preserve">Austria</w:t>
      </w:r>
    </w:p>
    <w:p>
      <w:pPr>
        <w:pStyle w:val="Compact"/>
        <w:numPr>
          <w:ilvl w:val="0"/>
          <w:numId w:val="1011"/>
        </w:numPr>
      </w:pPr>
      <w:r>
        <w:t xml:space="preserve">Belgium</w:t>
      </w:r>
    </w:p>
    <w:p>
      <w:pPr>
        <w:pStyle w:val="Compact"/>
        <w:numPr>
          <w:ilvl w:val="0"/>
          <w:numId w:val="1011"/>
        </w:numPr>
      </w:pPr>
      <w:r>
        <w:t xml:space="preserve">Bulgaria</w:t>
      </w:r>
    </w:p>
    <w:p>
      <w:pPr>
        <w:pStyle w:val="Compact"/>
        <w:numPr>
          <w:ilvl w:val="0"/>
          <w:numId w:val="1011"/>
        </w:numPr>
      </w:pPr>
      <w:r>
        <w:t xml:space="preserve">Croatia</w:t>
      </w:r>
    </w:p>
    <w:p>
      <w:pPr>
        <w:pStyle w:val="Compact"/>
        <w:numPr>
          <w:ilvl w:val="0"/>
          <w:numId w:val="1011"/>
        </w:numPr>
      </w:pPr>
      <w:r>
        <w:t xml:space="preserve">Cyprus</w:t>
      </w:r>
    </w:p>
    <w:p>
      <w:pPr>
        <w:pStyle w:val="Compact"/>
        <w:numPr>
          <w:ilvl w:val="0"/>
          <w:numId w:val="1011"/>
        </w:numPr>
      </w:pPr>
      <w:r>
        <w:t xml:space="preserve">Czech Republic</w:t>
      </w:r>
    </w:p>
    <w:p>
      <w:pPr>
        <w:pStyle w:val="Compact"/>
        <w:numPr>
          <w:ilvl w:val="0"/>
          <w:numId w:val="1011"/>
        </w:numPr>
      </w:pPr>
      <w:r>
        <w:t xml:space="preserve">Denmark</w:t>
      </w:r>
    </w:p>
    <w:p>
      <w:pPr>
        <w:pStyle w:val="Compact"/>
        <w:numPr>
          <w:ilvl w:val="0"/>
          <w:numId w:val="1011"/>
        </w:numPr>
      </w:pPr>
      <w:r>
        <w:t xml:space="preserve">Estonia</w:t>
      </w:r>
    </w:p>
    <w:p>
      <w:pPr>
        <w:pStyle w:val="Compact"/>
        <w:numPr>
          <w:ilvl w:val="0"/>
          <w:numId w:val="1011"/>
        </w:numPr>
      </w:pPr>
      <w:r>
        <w:t xml:space="preserve">Finland</w:t>
      </w:r>
    </w:p>
    <w:p>
      <w:pPr>
        <w:pStyle w:val="Compact"/>
        <w:numPr>
          <w:ilvl w:val="0"/>
          <w:numId w:val="1011"/>
        </w:numPr>
      </w:pPr>
      <w:r>
        <w:t xml:space="preserve">France</w:t>
      </w:r>
    </w:p>
    <w:p>
      <w:pPr>
        <w:pStyle w:val="Compact"/>
        <w:numPr>
          <w:ilvl w:val="0"/>
          <w:numId w:val="1011"/>
        </w:numPr>
      </w:pPr>
      <w:r>
        <w:t xml:space="preserve">Germany</w:t>
      </w:r>
    </w:p>
    <w:p>
      <w:pPr>
        <w:pStyle w:val="Compact"/>
        <w:numPr>
          <w:ilvl w:val="0"/>
          <w:numId w:val="1011"/>
        </w:numPr>
      </w:pPr>
      <w:r>
        <w:t xml:space="preserve">Greece</w:t>
      </w:r>
    </w:p>
    <w:p>
      <w:pPr>
        <w:pStyle w:val="Compact"/>
        <w:numPr>
          <w:ilvl w:val="0"/>
          <w:numId w:val="1011"/>
        </w:numPr>
      </w:pPr>
      <w:r>
        <w:t xml:space="preserve">Hungary</w:t>
      </w:r>
    </w:p>
    <w:p>
      <w:pPr>
        <w:pStyle w:val="Compact"/>
        <w:numPr>
          <w:ilvl w:val="0"/>
          <w:numId w:val="1011"/>
        </w:numPr>
      </w:pPr>
      <w:r>
        <w:t xml:space="preserve">Ireland</w:t>
      </w:r>
    </w:p>
    <w:p>
      <w:pPr>
        <w:pStyle w:val="Compact"/>
        <w:numPr>
          <w:ilvl w:val="0"/>
          <w:numId w:val="1011"/>
        </w:numPr>
      </w:pPr>
      <w:r>
        <w:t xml:space="preserve">Italy</w:t>
      </w:r>
    </w:p>
    <w:p>
      <w:pPr>
        <w:pStyle w:val="Compact"/>
        <w:numPr>
          <w:ilvl w:val="0"/>
          <w:numId w:val="1011"/>
        </w:numPr>
      </w:pPr>
      <w:r>
        <w:t xml:space="preserve">Latvia</w:t>
      </w:r>
    </w:p>
    <w:p>
      <w:pPr>
        <w:pStyle w:val="Compact"/>
        <w:numPr>
          <w:ilvl w:val="0"/>
          <w:numId w:val="1011"/>
        </w:numPr>
      </w:pPr>
      <w:r>
        <w:t xml:space="preserve">Lithuania</w:t>
      </w:r>
    </w:p>
    <w:p>
      <w:pPr>
        <w:pStyle w:val="Compact"/>
        <w:numPr>
          <w:ilvl w:val="0"/>
          <w:numId w:val="1011"/>
        </w:numPr>
      </w:pPr>
      <w:r>
        <w:t xml:space="preserve">Luxembourg</w:t>
      </w:r>
    </w:p>
    <w:p>
      <w:pPr>
        <w:pStyle w:val="Compact"/>
        <w:numPr>
          <w:ilvl w:val="0"/>
          <w:numId w:val="1011"/>
        </w:numPr>
      </w:pPr>
      <w:r>
        <w:t xml:space="preserve">Malta</w:t>
      </w:r>
    </w:p>
    <w:p>
      <w:pPr>
        <w:pStyle w:val="Compact"/>
        <w:numPr>
          <w:ilvl w:val="0"/>
          <w:numId w:val="1011"/>
        </w:numPr>
      </w:pPr>
      <w:r>
        <w:t xml:space="preserve">Netherlands</w:t>
      </w:r>
    </w:p>
    <w:p>
      <w:pPr>
        <w:pStyle w:val="Compact"/>
        <w:numPr>
          <w:ilvl w:val="0"/>
          <w:numId w:val="1011"/>
        </w:numPr>
      </w:pPr>
      <w:r>
        <w:t xml:space="preserve">Poland</w:t>
      </w:r>
    </w:p>
    <w:p>
      <w:pPr>
        <w:pStyle w:val="Compact"/>
        <w:numPr>
          <w:ilvl w:val="0"/>
          <w:numId w:val="1011"/>
        </w:numPr>
      </w:pPr>
      <w:r>
        <w:t xml:space="preserve">Portugal</w:t>
      </w:r>
    </w:p>
    <w:p>
      <w:pPr>
        <w:pStyle w:val="Compact"/>
        <w:numPr>
          <w:ilvl w:val="0"/>
          <w:numId w:val="1011"/>
        </w:numPr>
      </w:pPr>
      <w:r>
        <w:t xml:space="preserve">Romania</w:t>
      </w:r>
    </w:p>
    <w:p>
      <w:pPr>
        <w:pStyle w:val="Compact"/>
        <w:numPr>
          <w:ilvl w:val="0"/>
          <w:numId w:val="1011"/>
        </w:numPr>
      </w:pPr>
      <w:r>
        <w:t xml:space="preserve">Slovakia</w:t>
      </w:r>
    </w:p>
    <w:p>
      <w:pPr>
        <w:pStyle w:val="Compact"/>
        <w:numPr>
          <w:ilvl w:val="0"/>
          <w:numId w:val="1011"/>
        </w:numPr>
      </w:pPr>
      <w:r>
        <w:t xml:space="preserve">Slovenia</w:t>
      </w:r>
    </w:p>
    <w:p>
      <w:pPr>
        <w:pStyle w:val="Compact"/>
        <w:numPr>
          <w:ilvl w:val="0"/>
          <w:numId w:val="1011"/>
        </w:numPr>
      </w:pPr>
      <w:r>
        <w:t xml:space="preserve">Spain</w:t>
      </w:r>
    </w:p>
    <w:p>
      <w:pPr>
        <w:pStyle w:val="Compact"/>
        <w:numPr>
          <w:ilvl w:val="0"/>
          <w:numId w:val="1011"/>
        </w:numPr>
      </w:pPr>
      <w:r>
        <w:t xml:space="preserve">Sweden</w:t>
      </w:r>
    </w:p>
    <w:bookmarkEnd w:id="22"/>
    <w:bookmarkStart w:id="23" w:name="e-trust-positioning-note"/>
    <w:p>
      <w:pPr>
        <w:pStyle w:val="Heading3"/>
      </w:pPr>
      <w:r>
        <w:t xml:space="preserve">E) Trust-Positioning Note</w:t>
      </w:r>
    </w:p>
    <w:p>
      <w:pPr>
        <w:pStyle w:val="Compact"/>
        <w:numPr>
          <w:ilvl w:val="0"/>
          <w:numId w:val="1012"/>
        </w:numPr>
      </w:pPr>
      <w:r>
        <w:t xml:space="preserve">Optional extra licenses can be accepted and displayed.</w:t>
      </w:r>
    </w:p>
    <w:p>
      <w:pPr>
        <w:pStyle w:val="Compact"/>
        <w:numPr>
          <w:ilvl w:val="0"/>
          <w:numId w:val="1012"/>
        </w:numPr>
      </w:pPr>
      <w:r>
        <w:t xml:space="preserve">More valid licensing evidence should increase buyer confidence and international credibility signals.</w:t>
      </w:r>
    </w:p>
    <w:p>
      <w:pPr>
        <w:pStyle w:val="Compact"/>
        <w:numPr>
          <w:ilvl w:val="0"/>
          <w:numId w:val="1012"/>
        </w:numPr>
      </w:pPr>
      <w:r>
        <w:t xml:space="preserve">Mandatory verification requirements remain fixed by role/country even when optional licenses are added.</w:t>
      </w:r>
    </w:p>
    <w:bookmarkEnd w:id="23"/>
    <w:bookmarkStart w:id="24" w:name="X6f16dc46d90e4d2bf27e5e7f399bb84574e2deb"/>
    <w:p>
      <w:pPr>
        <w:pStyle w:val="Heading3"/>
      </w:pPr>
      <w:r>
        <w:t xml:space="preserve">F) Core Analytics Strategy (Buying House / Enterprise)</w:t>
      </w:r>
    </w:p>
    <w:p>
      <w:pPr>
        <w:pStyle w:val="FirstParagraph"/>
      </w:pPr>
      <w:r>
        <w:t xml:space="preserve">Keep dashboard-level analytics focused on 5 to 7 core metrics.</w:t>
      </w:r>
    </w:p>
    <w:p>
      <w:pPr>
        <w:pStyle w:val="BodyText"/>
      </w:pPr>
      <w:r>
        <w:t xml:space="preserve">Recommended top 5 operational metrics:</w:t>
      </w:r>
    </w:p>
    <w:p>
      <w:pPr>
        <w:pStyle w:val="Compact"/>
        <w:numPr>
          <w:ilvl w:val="0"/>
          <w:numId w:val="1013"/>
        </w:numPr>
      </w:pPr>
      <w:r>
        <w:t xml:space="preserve">Buyer Request Match Rate = matched requests / total relevant requests</w:t>
      </w:r>
    </w:p>
    <w:p>
      <w:pPr>
        <w:pStyle w:val="Compact"/>
        <w:numPr>
          <w:ilvl w:val="0"/>
          <w:numId w:val="1013"/>
        </w:numPr>
      </w:pPr>
      <w:r>
        <w:t xml:space="preserve">Lead to Deal Conversion Rate = contracts signed / buyer conversations</w:t>
      </w:r>
    </w:p>
    <w:p>
      <w:pPr>
        <w:pStyle w:val="Compact"/>
        <w:numPr>
          <w:ilvl w:val="0"/>
          <w:numId w:val="1013"/>
        </w:numPr>
      </w:pPr>
      <w:r>
        <w:t xml:space="preserve">Factory Response Speed = average first response time</w:t>
      </w:r>
    </w:p>
    <w:p>
      <w:pPr>
        <w:pStyle w:val="Compact"/>
        <w:numPr>
          <w:ilvl w:val="0"/>
          <w:numId w:val="1013"/>
        </w:numPr>
      </w:pPr>
      <w:r>
        <w:t xml:space="preserve">Buyer Demand Trend = top requested product categories over time</w:t>
      </w:r>
    </w:p>
    <w:p>
      <w:pPr>
        <w:pStyle w:val="Compact"/>
        <w:numPr>
          <w:ilvl w:val="0"/>
          <w:numId w:val="1013"/>
        </w:numPr>
      </w:pPr>
      <w:r>
        <w:t xml:space="preserve">Trusted Deal Score = completed deals + buyer rating - disputes</w:t>
      </w:r>
    </w:p>
    <w:bookmarkEnd w:id="24"/>
    <w:bookmarkStart w:id="25" w:name="X8cb31908d9fd8c05e9121fbd0dac224e8b9bba4"/>
    <w:p>
      <w:pPr>
        <w:pStyle w:val="Heading3"/>
      </w:pPr>
      <w:r>
        <w:t xml:space="preserve">G) Marketplace-Owner Core Metrics (platform-level)</w:t>
      </w:r>
    </w:p>
    <w:p>
      <w:pPr>
        <w:pStyle w:val="FirstParagraph"/>
      </w:pPr>
      <w:r>
        <w:t xml:space="preserve">For owner/admin strategy, prioritize these 5 marketplace health metrics:</w:t>
      </w:r>
    </w:p>
    <w:p>
      <w:pPr>
        <w:pStyle w:val="Compact"/>
        <w:numPr>
          <w:ilvl w:val="0"/>
          <w:numId w:val="1014"/>
        </w:numPr>
      </w:pPr>
      <w:r>
        <w:t xml:space="preserve">Buyer to Supplier Match Success Rate</w:t>
      </w:r>
    </w:p>
    <w:p>
      <w:pPr>
        <w:pStyle w:val="Compact"/>
        <w:numPr>
          <w:ilvl w:val="0"/>
          <w:numId w:val="1014"/>
        </w:numPr>
      </w:pPr>
      <w:r>
        <w:t xml:space="preserve">Active Buyer vs Active Supplier Ratio (target balance: 1 buyer to 3 to 5 suppliers)</w:t>
      </w:r>
    </w:p>
    <w:p>
      <w:pPr>
        <w:pStyle w:val="Compact"/>
        <w:numPr>
          <w:ilvl w:val="0"/>
          <w:numId w:val="1014"/>
        </w:numPr>
      </w:pPr>
      <w:r>
        <w:t xml:space="preserve">Request to Contract Conversion Rate</w:t>
      </w:r>
    </w:p>
    <w:p>
      <w:pPr>
        <w:pStyle w:val="Compact"/>
        <w:numPr>
          <w:ilvl w:val="0"/>
          <w:numId w:val="1014"/>
        </w:numPr>
      </w:pPr>
      <w:r>
        <w:t xml:space="preserve">Time to First Qualified Response</w:t>
      </w:r>
    </w:p>
    <w:p>
      <w:pPr>
        <w:pStyle w:val="Compact"/>
        <w:numPr>
          <w:ilvl w:val="0"/>
          <w:numId w:val="1014"/>
        </w:numPr>
      </w:pPr>
      <w:r>
        <w:t xml:space="preserve">Repeat Buyer Rate</w:t>
      </w:r>
    </w:p>
    <w:bookmarkEnd w:id="25"/>
    <w:bookmarkStart w:id="26" w:name="h-dashboard-rule"/>
    <w:p>
      <w:pPr>
        <w:pStyle w:val="Heading3"/>
      </w:pPr>
      <w:r>
        <w:t xml:space="preserve">H) Dashboard Rule</w:t>
      </w:r>
    </w:p>
    <w:p>
      <w:pPr>
        <w:pStyle w:val="Compact"/>
        <w:numPr>
          <w:ilvl w:val="0"/>
          <w:numId w:val="1015"/>
        </w:numPr>
      </w:pPr>
      <w:r>
        <w:t xml:space="preserve">Do not overload main dashboards with dozens of metrics.</w:t>
      </w:r>
    </w:p>
    <w:p>
      <w:pPr>
        <w:pStyle w:val="Compact"/>
        <w:numPr>
          <w:ilvl w:val="0"/>
          <w:numId w:val="1015"/>
        </w:numPr>
      </w:pPr>
      <w:r>
        <w:t xml:space="preserve">Keep core KPI cards short and decision-oriented.</w:t>
      </w:r>
    </w:p>
    <w:p>
      <w:pPr>
        <w:pStyle w:val="Compact"/>
        <w:numPr>
          <w:ilvl w:val="0"/>
          <w:numId w:val="1015"/>
        </w:numPr>
      </w:pPr>
      <w:r>
        <w:t xml:space="preserve">Place deep analytics on a separate detail page.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2026-05-01T09:55:16Z</dcterms:created>
  <dcterms:modified xsi:type="dcterms:W3CDTF">2026-05-01T09:55:16Z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