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playwright-configuration"/>
    <w:p>
      <w:pPr>
        <w:pStyle w:val="Heading1"/>
      </w:pPr>
      <w:r>
        <w:t xml:space="preserve">Playwright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playwright.config.ts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E2E test runner configuration for Playwright</w:t>
      </w:r>
    </w:p>
    <w:bookmarkEnd w:id="9"/>
    <w:bookmarkStart w:id="10" w:name="configuration"/>
    <w:p>
      <w:pPr>
        <w:pStyle w:val="Heading2"/>
      </w:pPr>
      <w:r>
        <w:t xml:space="preserve">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2461"/>
        <w:gridCol w:w="4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</w:t>
            </w:r>
          </w:p>
        </w:tc>
        <w:tc>
          <w:tcPr/>
          <w:p>
            <w:pPr>
              <w:pStyle w:val="Compact"/>
            </w:pPr>
            <w:r>
              <w:t xml:space="preserve">Test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30000ms</w:t>
            </w:r>
          </w:p>
        </w:tc>
        <w:tc>
          <w:tcPr/>
          <w:p>
            <w:pPr>
              <w:pStyle w:val="Compact"/>
            </w:pPr>
            <w:r>
              <w:t xml:space="preserve">Test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http://localhost:4000</w:t>
            </w:r>
          </w:p>
        </w:tc>
        <w:tc>
          <w:tcPr/>
          <w:p>
            <w:pPr>
              <w:pStyle w:val="Compact"/>
            </w:pPr>
            <w:r>
              <w:t xml:space="preserve">Base URL (configurable via</w:t>
            </w:r>
            <w:r>
              <w:t xml:space="preserve"> </w:t>
            </w:r>
            <w:r>
              <w:rPr>
                <w:rStyle w:val="VerbatimChar"/>
              </w:rPr>
              <w:t xml:space="preserve">E2E_BASE_URL</w:t>
            </w:r>
            <w:r>
              <w:t xml:space="preserve">)</w:t>
            </w:r>
          </w:p>
        </w:tc>
      </w:tr>
    </w:tbl>
    <w:bookmarkEnd w:id="10"/>
    <w:bookmarkStart w:id="11" w:name="web-server"/>
    <w:p>
      <w:pPr>
        <w:pStyle w:val="Heading2"/>
      </w:pPr>
      <w:r>
        <w:t xml:space="preserve">Web 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8"/>
        <w:gridCol w:w="2846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server/server.js</w:t>
            </w:r>
          </w:p>
        </w:tc>
        <w:tc>
          <w:tcPr/>
          <w:p>
            <w:pPr>
              <w:pStyle w:val="Compact"/>
            </w:pPr>
            <w:r>
              <w:t xml:space="preserve">Start server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http://localhost:4000</w:t>
            </w:r>
          </w:p>
        </w:tc>
        <w:tc>
          <w:tcPr/>
          <w:p>
            <w:pPr>
              <w:pStyle w:val="Compact"/>
            </w:pPr>
            <w:r>
              <w:t xml:space="preserve">Server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reuseExistingServer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Reuse running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120000ms</w:t>
            </w:r>
          </w:p>
        </w:tc>
        <w:tc>
          <w:tcPr/>
          <w:p>
            <w:pPr>
              <w:pStyle w:val="Compact"/>
            </w:pPr>
            <w:r>
              <w:t xml:space="preserve">Startup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env.NODE_ENV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Node environment</w:t>
            </w:r>
          </w:p>
        </w:tc>
      </w:tr>
    </w:tbl>
    <w:bookmarkEnd w:id="11"/>
    <w:bookmarkStart w:id="12" w:name="environment-variables"/>
    <w:p>
      <w:pPr>
        <w:pStyle w:val="Heading2"/>
      </w:pPr>
      <w:r>
        <w:t xml:space="preserve">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760"/>
        <w:gridCol w:w="30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E2E_WEB_SERVER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Enable/disable web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http://localhost:4000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ALLOW_DB_OFFLINE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Allow offline DB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from: playwright.config.ts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2026-05-01T09:55:21Z</dcterms:created>
  <dcterms:modified xsi:type="dcterms:W3CDTF">2026-05-01T09:55:21Z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