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1A56DB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80"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A56DB"/>
          <w:sz w:val="56"/>
          <w:szCs w:val="56"/>
        </w:rPr>
        <w:t xml:space="preserve">千川智控</w:t>
      </w:r>
    </w:p>
    <w:p>
      <w:pPr>
        <w:spacing w:after="200" w:before="80"/>
        <w:jc w:val="center"/>
      </w:pPr>
      <w:r>
        <w:rPr>
          <w:rFonts w:ascii="Microsoft YaHei" w:cs="Microsoft YaHei" w:eastAsia="Microsoft YaHei" w:hAnsi="Microsoft YaHei"/>
          <w:color w:val="111827"/>
          <w:sz w:val="36"/>
          <w:szCs w:val="36"/>
        </w:rPr>
        <w:t xml:space="preserve">全域投放操控系统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color w:val="1A56DB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color w:val="6B7280"/>
          <w:sz w:val="28"/>
          <w:szCs w:val="28"/>
        </w:rPr>
        <w:t xml:space="preserve">项目功能详细说明文档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200"/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版本：v1.0.0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日期：2026年4月30日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6B7280"/>
          <w:sz w:val="20"/>
          <w:szCs w:val="20"/>
        </w:rPr>
        <w:t xml:space="preserve">密级：内部使用</w:t>
      </w: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目录</w:t>
      </w:r>
    </w:p>
    <w:p>
      <w:pPr>
        <w:spacing w:after="60" w:before="60"/>
      </w:pP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1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项目概述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2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系统架构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3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核心功能模块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3.1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全域投放管理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3.2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智能调控引擎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3.3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定时任务调度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3.4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数据看板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3.5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直播间监控</w:t>
      </w:r>
    </w:p>
    <w:p>
      <w:pPr>
        <w:spacing w:after="80" w:before="80"/>
        <w:ind w:left="600"/>
      </w:pPr>
      <w:r>
        <w:rPr>
          <w:rFonts w:ascii="Microsoft YaHei" w:cs="Microsoft YaHei" w:eastAsia="Microsoft YaHei" w:hAnsi="Microsoft YaHei"/>
          <w:b w:val="false"/>
          <w:bCs w:val="false"/>
          <w:color w:val="1A56DB"/>
          <w:sz w:val="22"/>
          <w:szCs w:val="22"/>
        </w:rPr>
        <w:t xml:space="preserve">3.6  </w:t>
      </w: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批量调控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4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API接口清单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5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数据库设计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6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Token管理机制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7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部署方案</w:t>
      </w:r>
    </w:p>
    <w:p>
      <w:pPr>
        <w:spacing w:after="80" w:before="80"/>
        <w:ind w:left="200"/>
      </w:pPr>
      <w:r>
        <w:rPr>
          <w:rFonts w:ascii="Microsoft YaHei" w:cs="Microsoft YaHei" w:eastAsia="Microsoft YaHei" w:hAnsi="Microsoft YaHei"/>
          <w:b/>
          <w:bCs/>
          <w:color w:val="1A56DB"/>
          <w:sz w:val="22"/>
          <w:szCs w:val="22"/>
        </w:rPr>
        <w:t xml:space="preserve">8  </w:t>
      </w:r>
      <w:r>
        <w:rPr>
          <w:rFonts w:ascii="Microsoft YaHei" w:cs="Microsoft YaHei" w:eastAsia="Microsoft YaHei" w:hAnsi="Microsoft YaHei"/>
          <w:b/>
          <w:bCs/>
          <w:color w:val="111827"/>
          <w:sz w:val="22"/>
          <w:szCs w:val="22"/>
        </w:rPr>
        <w:t xml:space="preserve">安全设计</w:t>
      </w:r>
    </w:p>
    <w:p>
      <w:r>
        <w:br w:type="page"/>
      </w: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1.1  项目背景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千川智控是一款专为个人投放者设计的巨量千川全域投放操控系统。系统参照小火龙投放流设计理念，旨在帮助个人投放者高效管理巨量千川广告投放，解决多账户管理复杂、手动调控效率低、数据分析不及时等痛点问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通过智能化的自动调控引擎、灵活的定时任务调度以及直观的数据看板，千川智控能够显著提升投放效率，降低人工操作成本，实现精细化的广告投放管理。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1.2  核心价值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多账户统一管理：支持多个广告主账户并发拉取与管理，一屏掌控全部投放账户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智能自动调控：基于规则引擎实现自动追投、亏损关停、关停复投等策略，无需人工干预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灵活定时调度：支持Cron表达式的定时任务，可按计划自动执行批量调控操作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实时数据看板：消耗、ROI、转化数、GMV等核心指标实时展示，趋势图表直观可视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直播间监控：实时监控直播间数据，包括UV、GMV、商品点击、订单数等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1.3 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4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2  系统架构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2.1  分层架构设计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千川智控采用经典的四层分层架构设计，各层职责清晰，耦合度低，便于维护和扩展。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2.2  通信机制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系统前后端分离，通过以下两种方式进行通信：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RESTful API：所有业务操作均通过标准 HTTP 接口完成，统一返回格式 {code, message, data}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WebSocket：用于实时推送调控进度、任务执行状态等实时信息，端点为 /ws/progress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2.3  后端目录结构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后端项目采用清晰的模块化目录结构：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目录/文件</w:t>
            </w:r>
          </w:p>
        </w:tc>
        <w:tc>
          <w:tcPr>
            <w:tcW w:type="pct" w:w="6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</w:tr>
      <w:tr>
        <width/>
        <width/>
      </w:tr>
      <w:tr>
        <width/>
        <width/>
      </w:tr>
      <w:tr>
        <width/>
        <width/>
      </w:tr>
      <w:tr>
        <width/>
        <width/>
      </w:tr>
      <w:tr>
        <width/>
        <width/>
      </w:tr>
      <w:tr>
        <width/>
        <width/>
      </w:tr>
      <w:tr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2.4  前后端交互流程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前端通过 Axios 发起 HTTP 请求调用后端 API，后端统一返回 JSON 格式数据。对于耗时操作（如批量调控、报表拉取），前端通过 WebSocket 订阅实时进度更新。后端还提供了全局异常处理器，确保所有未捕获异常都能返回统一格式的错误响应。</w:t>
      </w:r>
    </w:p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3  核心功能模块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3.1  全域投放管理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全域投放管理是千川智控的核心模块，使用千川PC全域推广专用API路径，支持多账户并发拉取与统一管理。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3.1.1  多账户并发拉取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系统通过 asyncio.gather 实现多账户并发请求，大幅提升数据拉取速度。当不传入 advertiser_id 时，自动并发拉取全部配置的广告主账户数据并合并返回。各账户拉取失败不影响其他账户，错误信息会在响应中单独返回。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3.1.2  计划列表功能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按消耗降序排列：拉取后自动按消耗金额从高到低排序，快速定位高消耗计划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分页查询：支持自定义页码和每页数量，默认每页20条，最多100条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状态筛选：支持按计划状态筛选（投放中、已暂停、审核中、已结束等）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营销目标切换：支持 VIDEO_PROM_GOODS 等不同营销目标的计划查看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账户筛选：可指定单个账户查看，也可查看全部账户合并数据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关键词搜索：支持按计划名称关键词搜索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3.1.3  批量操作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支持跨账户批量操作，按 advertiser_id 分组调用API，每组最多10个计划，超出部分自动分批处理。主要包括：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批量开启/暂停计划：一键切换多个计划的投放状态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批量修改预算：同时为多个计划设置新的日预算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批量修改ROI目标：统一调整多个计划的ROI目标值，使用 AD_CONVERT_TYPE_LIVE_PURE_PAY_ROI 参数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3.1.4  定时调控弹窗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提供定时调控弹窗功能，用户可以设置定时任务，在指定时间自动批量修改ROI和预算。支持每个计划独立设置ROI目标和预算值，实现精细化的定时调控策略。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3.1.5  重点关注标记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支持对重点计划进行星标收藏，收藏后可快速筛选只查看重点关注的计划。数据持久化到 favorite_plans 表，使用 advertiser_id + ad_id 作为唯一标识。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3.1.6  素材排除功能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获取各店铺消耗前N个计划的视频素材ID，用于新建计划时排除已经在投的素材，避免素材内耗。流程为：按店铺分组 → 取消耗前N计划 → 调创意报表API获取素材ID → 汇总返回。同时支持直接排除指定素材。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3.1.7  全域报表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支持从账户维度和计划维度查看全域报表数据，包含消耗、ROI、GMV、订单数、单笔成本等核心指标，支持自定义日期范围查询。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3.2  智能调控引擎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智能调控引擎是千川智控的核心竞争力所在，通过后台 asyncio 异步轮询机制，实现无人值守的自动化投放管理。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3.2.1  规则类型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规则类型</w:t>
            </w:r>
          </w:p>
        </w:tc>
        <w:tc>
          <w:tcPr>
            <w:tcW w:type="pct" w:w="1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执行动作</w:t>
            </w:r>
          </w:p>
        </w:tc>
      </w:tr>
      <w:tr>
        <width/>
        <width/>
        <width/>
        <width/>
      </w:tr>
      <w:tr>
        <width/>
        <width/>
        <width/>
        <width/>
      </w:tr>
      <w:tr>
        <width/>
        <width/>
        <width/>
        <width/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3.2.2  运行机制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后台轮询：每5分钟自动检查一次所有已启用规则，确保及时响应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独立检查间隔：每个规则可设置独立的检查间隔（默认30分钟），避免频繁检查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冷却时间机制：同一计划两次触发间隔至少需要60分钟，防止重复操作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跨账户执行：规则可应用于指定账户或全部账户，自动跨账户执行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统计追踪：记录每个规则的累计触发次数、累计关停计划数、累计追加预算等统计数据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3.2.3  规则配置参数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pct" w:w="1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6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3.3  定时任务调度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基于 APScheduler AsyncIOScheduler 实现的定时任务调度系统，支持标准 Cron 表达式，任务持久化到 SQLite，系统重启后自动恢复所有已启用的定时任务。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3.3.1  任务类型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pct" w:w="5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3.3.2  任务管理功能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任务CRUD：支持创建、查询、更新、删除定时任务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启用/禁用：可随时启用或禁用任务，禁用后不再执行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手动执行：支持手动触发任务立即执行，方便测试和临时操作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执行日志：记录每次任务执行的详细日志，包括执行时间、结果、影响计划数等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自动恢复：系统重启时自动从数据库加载并恢复所有已启用任务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3.4  数据看板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数据看板提供全局数据概览，帮助投放者快速了解当前投放效果和趋势变化。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3.4.1  概览卡片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今日/昨日对比卡片，展示四个核心指标及其环比变化率：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3.4.2  趋势图表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消耗/转化趋势折线图：展示近7天的消耗和转化数变化趋势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支持自定义查询天数（1-90天）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按日期汇总所有广告主账户数据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3.4.3  其他看板组件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计划状态分布饼图：展示投放中、已暂停、审核中、已结束等状态的计划数量分布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TOP消耗计划排行：按消耗/ROI/GMV排序的前N个计划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最近操作日志：展示最近的操作记录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账户余额汇总：展示所有广告主账户的总余额、现金余额、赠款余额、今日消耗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3.5  直播间监控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直播间监控模块提供实时的直播间数据监控能力，帮助投放者及时了解直播间运营状态。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3.5.1  直播间列表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以卡片形式展示直播间列表，支持按日期范围筛选。列表包含直播间基本信息，点击可查看详情。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3.5.2  直播间详情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直播间详情弹窗展示以下核心数据指标：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3.5.3  商品列表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获取直播间关联的商品列表信息，包括商品基本信息和销售数据。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3.6  批量调控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批量调控模块提供基于条件的智能批量操作能力，支持预览和操作历史记录。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3.6.1  条件调控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用户可以设置多个筛选条件（如消耗范围、ROI范围、计划状态等），系统自动筛选符合条件的计划并执行批量操作。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3.6.2  预览功能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执行操作前可预览受影响的计划列表，确认无误后再执行，避免误操作。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3.6.3  操作历史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记录每次批量调控的操作历史，包括操作时间、筛选条件、执行动作、影响计划数等，便于回溯和审计。</w:t>
      </w:r>
    </w:p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4  API接口清单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千川智控后端提供统一的 RESTful API 接口，所有接口统一返回 {code, message, data} 格式。以下按模块分组列出所有接口端点。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4.1  认证管理 /api/auth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4.2  标准计划管理 /api/plans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4.3  全域投放 /api/global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4.4  仪表盘 /api/dashboard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4.5  智能调控 /api/smart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4.6  定时任务 /api/scheduler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4.7  直播间 /api/live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4.8  系统设置 /api/settings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4.9  批量调控 /api/batch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4.10  其他端点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pct" w:w="5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5  数据库设计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千川智控使用 SQLite 数据库，启用 WAL（Write-Ahead Logging）模式提升并发读写性能。数据库文件存储在 data/ 目录下，确保重启后数据不丢失。共包含 6 张数据表。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5.1  credentials（API凭证表）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5.2  plans（计划缓存表）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5.3  scheduled_tasks（定时任务表）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5.4  operation_logs（操作日志表）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5.5  auto_rules（智能规则表）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5.6  favorite_plans（重点关注表）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0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  <w:tr>
        <width/>
        <width/>
        <width/>
      </w:tr>
    </w:tbl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6  Token管理机制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6.1  OAuth2.0 授权流程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系统采用千川开放平台的 OAuth2.0 授权流程获取 API 访问凭证：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步骤1：用户访问系统获取 OAuth 授权 URL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步骤2：用户在千川开放平台完成授权，获取 auth_code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步骤3：系统用 auth_code 换取 access_token 和 refresh_token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步骤4：将 token 持久化到 SQLite 和 .env 文件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6.2  三层自动刷新保障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为确保 Token 始终有效，系统设计了三层自动刷新机制：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2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pct" w:w="2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刷新策略</w:t>
            </w:r>
          </w:p>
        </w:tc>
        <w:tc>
          <w:tcPr>
            <w:tcW w:type="pct" w:w="38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  <width/>
        <width/>
      </w:tr>
      <w:tr>
        <width/>
        <width/>
        <width/>
        <width/>
      </w:tr>
      <w:tr>
        <width/>
        <width/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6.3  Token 失效回退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当某个广告主的 Token 失效无法刷新时，系统支持自动从其他广告主复制有效 Token 进行回退，确保服务连续性。同时提供手动同步 Token 功能，可将有效 Token 一键同步到所有广告主账户。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6.4  Token 持久化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SQLite 存储：Token 信息存储在 credentials 表中，系统启动时自动加载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.env 文件备份：同时将 Token 写入 .env 文件，作为额外备份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过期时间：默认24小时（1440分钟），可通过 TOKEN_EXPIRE_MINUTES 配置调整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提前刷新：默认在过期前30分钟自动刷新，可通过 TOKEN_REFRESH_BEFORE 配置调整</w:t>
      </w:r>
    </w:p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7  部署方案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7.1  Docker Compose 部署（推荐）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推荐使用 Docker Compose 进行生产环境部署，包含后端服务和 Nginx 反向代理。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7.1.1  部署步骤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克隆项目代码到服务器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复制 .env.example 为 .env 并填写配置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执行 docker-compose up -d 启动服务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访问 Nginx 暴露的端口即可使用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2"/>
          <w:szCs w:val="22"/>
        </w:rPr>
        <w:t xml:space="preserve">7.1.2  架构组件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75%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color="1E40A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idth/>
        <width/>
      </w:tr>
      <w:tr>
        <width/>
        <width/>
      </w:tr>
      <w:tr>
        <width/>
        <width/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7.2  本地开发部署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适用于开发调试场景，前后端分别启动：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后端：安装 Python 依赖（requirements.txt），运行 uvicorn app.main:app --reload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前端：安装 Node.js 依赖，运行 npm run dev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配置 .env 文件填写千川应用凭证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7.3  Windows 一键部署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0"/>
          <w:szCs w:val="20"/>
        </w:rPr>
        <w:t xml:space="preserve">提供 deploy_windows.bat 脚本，支持在 Windows 环境下一键部署。主要特性包括：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自动检测并安装 Python 依赖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自动安装 Node.js 依赖并构建前端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支持使用 NSSM 将后端服务注册为 Windows 系统服务，开机自启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自动配置 Nginx 反向代理</w:t>
      </w:r>
    </w:p>
    <w:p>
      <w:pPr>
        <w:spacing w:after="60" w:before="60"/>
      </w:pPr>
    </w:p>
    <w:p>
      <w:pPr>
        <w:pStyle w:val="Heading1"/>
        <w:pBdr>
          <w:bottom w:val="single" w:color="1A56DB" w:sz="3" w:space="6"/>
        </w:pBdr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6DB"/>
          <w:sz w:val="32"/>
          <w:szCs w:val="32"/>
        </w:rPr>
        <w:t xml:space="preserve">8  安全设计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8.1  敏感配置管理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.env 文件管理：所有敏感配置（APP_ID、APP_SECRET、ACCESS_TOKEN 等）均通过 .env 文件管理，不硬编码在代码中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配置加载：使用 pydantic-settings 从 .env 文件读取配置，支持环境变量覆盖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.env.example 提供配置模板，方便新用户快速配置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8.2  API 密钥保护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前端展示时自动隐藏 APP_SECRET 等敏感字段，显示为 ***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更新配置时自动跳过占位符值，避免误覆盖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8.3  Token 加密存储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Token 存储在 SQLite 数据库的 credentials 表中，数据库文件仅服务器本地可访问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同时备份到 .env 文件，.env 文件不会被纳入版本控制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8.4  操作日志审计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所有关键操作均记录到 operation_logs 表，包括操作动作、目标类型、目标ID、操作详情、操作结果等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支持按时间查询操作日志，便于问题排查和安全审计</w:t>
      </w:r>
    </w:p>
    <w:p>
      <w:pPr>
        <w:spacing w:after="40" w:before="40"/>
        <w:ind w:left="400" w:hanging="240"/>
      </w:pPr>
      <w:r>
        <w:rPr>
          <w:rFonts w:ascii="Microsoft YaHei" w:cs="Microsoft YaHei" w:eastAsia="Microsoft YaHei" w:hAnsi="Microsoft YaHei"/>
          <w:color w:val="111827"/>
          <w:sz w:val="20"/>
          <w:szCs w:val="20"/>
        </w:rPr>
        <w:t xml:space="preserve">• 智能规则引擎和定时任务均有独立的执行日志记录</w:t>
      </w:r>
    </w:p>
    <w:p>
      <w:pPr>
        <w:spacing w:after="60" w:before="60"/>
      </w:pPr>
    </w:p>
    <w:sectPr>
      <w:headerReference w:type="default" r:id="rId7"/>
      <w:footerReference w:type="default" r:id="rId8"/>
      <w:pgSz w:w="11908" w:h="16833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B7280"/>
        <w:sz w:val="16"/>
        <w:szCs w:val="16"/>
      </w:rPr>
      <w:t xml:space="preserve">千川智控 - 全域投放操控系统  |  项目功能说明文档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0"/>
        <w:szCs w:val="20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Microsoft YaHei" w:cs="Microsoft YaHei" w:eastAsia="Microsoft YaHei" w:hAnsi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Microsoft YaHei" w:cs="Microsoft YaHei" w:eastAsia="Microsoft YaHei" w:hAnsi="Microsoft YaHei"/>
      <w:b/>
      <w:bCs/>
      <w:color w:val="374151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2026-04-30T00:40:33.758Z</dcterms:created>
  <dcterms:modified xsi:type="dcterms:W3CDTF">2026-04-30T00:40:33.758Z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