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1A8"/>
          <w:sz w:val="46"/>
        </w:rPr>
        <w:t>Обязательное домашнее задание №2</w:t>
      </w:r>
    </w:p>
    <w:p>
      <w:pPr>
        <w:jc w:val="center"/>
      </w:pPr>
      <w:r>
        <w:rPr>
          <w:b/>
          <w:color w:val="B86000"/>
          <w:sz w:val="30"/>
        </w:rPr>
        <w:t>Подготовка сценария занятия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F"/>
          </w:tcPr>
          <w:p>
            <w:pPr>
              <w:spacing w:after="0" w:line="259" w:lineRule="auto"/>
            </w:pPr>
            <w:r>
              <w:rPr>
                <w:b/>
              </w:rPr>
              <w:t>Тема занятия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Неравенства в олимпиадной математике для 8-9 классов: средние величины, неравенство Коши-Буняковского-Шварца и базовые методы решения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F"/>
          </w:tcPr>
          <w:p>
            <w:pPr>
              <w:spacing w:after="0" w:line="259" w:lineRule="auto"/>
            </w:pPr>
            <w:r>
              <w:rPr>
                <w:b/>
              </w:rPr>
              <w:t>Целевая аудитория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Ученики 8-9 классов, интересующиеся олимпиадной математикой; имеют опыт решения нестандартных задач, но ещё не владеют системой методов работы с неравенствами.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F"/>
          </w:tcPr>
          <w:p>
            <w:pPr>
              <w:spacing w:after="0" w:line="259" w:lineRule="auto"/>
            </w:pPr>
            <w:r>
              <w:rPr>
                <w:b/>
              </w:rPr>
              <w:t>Длительность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80 минут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F"/>
          </w:tcPr>
          <w:p>
            <w:pPr>
              <w:spacing w:after="0" w:line="259" w:lineRule="auto"/>
            </w:pPr>
            <w:r>
              <w:rPr>
                <w:b/>
              </w:rPr>
              <w:t>Выбранная модель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Модель Ганье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F"/>
          </w:tcPr>
          <w:p>
            <w:pPr>
              <w:spacing w:after="0" w:line="259" w:lineRule="auto"/>
            </w:pPr>
            <w:r>
              <w:rPr>
                <w:b/>
              </w:rPr>
              <w:t>Почему выбрана именно эта модель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Модель Ганье подходит для этого занятия, потому что тема требует последовательного ввода нового инструментария: сначала нужно вызвать интерес и актуализировать уже известные наблюдения, затем дать чёткие ориентиры, показать образцы применения и организовать практику с постепенным усложнением. Такая структура помогает не превратить занятие в набор теорем, а провести учеников от интуитивного понимания к осознанному выбору метода в задачах.</w:t>
            </w:r>
          </w:p>
        </w:tc>
      </w:tr>
    </w:tbl>
    <w:p/>
    <w:p>
      <w:r>
        <w:rPr>
          <w:b/>
          <w:color w:val="2031A8"/>
          <w:sz w:val="26"/>
        </w:rPr>
        <w:t>Скорректированные цели и планируемые результаты занятия</w:t>
      </w:r>
    </w:p>
    <w:p>
      <w:pPr>
        <w:spacing w:after="40"/>
        <w:ind w:left="227" w:hanging="227"/>
      </w:pPr>
      <w:r>
        <w:rPr>
          <w:b/>
        </w:rPr>
        <w:t xml:space="preserve">• </w:t>
      </w:r>
      <w:r>
        <w:t>Сформировать у учащихся целостное представление о том, зачем в олимпиадных задачах нужны стандартные неравенства и как они сокращают путь к решению.</w:t>
      </w:r>
    </w:p>
    <w:p>
      <w:pPr>
        <w:spacing w:after="40"/>
        <w:ind w:left="227" w:hanging="227"/>
      </w:pPr>
      <w:r>
        <w:rPr>
          <w:b/>
        </w:rPr>
        <w:t xml:space="preserve">• </w:t>
      </w:r>
      <w:r>
        <w:t>Научить распознавать ситуации, в которых уместно применять неравенство между средним арифметическим и геометрическим и неравенство Коши-Буняковского-Шварца.</w:t>
      </w:r>
    </w:p>
    <w:p>
      <w:pPr>
        <w:spacing w:after="40"/>
        <w:ind w:left="227" w:hanging="227"/>
      </w:pPr>
      <w:r>
        <w:rPr>
          <w:b/>
        </w:rPr>
        <w:t xml:space="preserve">• </w:t>
      </w:r>
      <w:r>
        <w:t>Отработать применение этих инструментов на задачах базового и среднего уровня сложности.</w:t>
      </w:r>
    </w:p>
    <w:p>
      <w:pPr>
        <w:spacing w:after="40"/>
        <w:ind w:left="227" w:hanging="227"/>
      </w:pPr>
      <w:r>
        <w:rPr>
          <w:b/>
        </w:rPr>
        <w:t xml:space="preserve">• </w:t>
      </w:r>
      <w:r>
        <w:t>Подвести учащихся к осознанному выбору метода: сравнивать возможные подходы и объяснять, почему выбран именно этот.</w:t>
      </w:r>
    </w:p>
    <w:p>
      <w:pPr>
        <w:sectPr>
          <w:pgSz w:w="12240" w:h="15840"/>
          <w:pgMar w:top="1134" w:right="1020" w:bottom="1020" w:left="1020" w:header="720" w:footer="720" w:gutter="0"/>
          <w:cols w:space="720"/>
          <w:docGrid w:linePitch="360"/>
        </w:sectPr>
      </w:pPr>
    </w:p>
    <w:p>
      <w:r>
        <w:rPr>
          <w:b/>
          <w:color w:val="2031A8"/>
          <w:sz w:val="30"/>
        </w:rPr>
        <w:t>Сценарий занятия для урока</w:t>
      </w:r>
      <w:r>
        <w:t xml:space="preserve"> «Неравенства в олимпиадной математике для 8-9 классов»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rPr>
          <w:tblHeader w:val="true"/>
        </w:trPr>
        <w:tc>
          <w:tcPr>
            <w:tcW w:type="dxa" w:w="1247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  <w:shd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  <w:t>Время (тайминг)</w:t>
            </w:r>
          </w:p>
        </w:tc>
        <w:tc>
          <w:tcPr>
            <w:tcW w:type="dxa" w:w="1701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  <w:shd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  <w:t>Название/описание этапа</w:t>
            </w:r>
          </w:p>
        </w:tc>
        <w:tc>
          <w:tcPr>
            <w:tcW w:type="dxa" w:w="2835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  <w:shd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  <w:t>Действия преподавателя</w:t>
            </w:r>
          </w:p>
        </w:tc>
        <w:tc>
          <w:tcPr>
            <w:tcW w:type="dxa" w:w="226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  <w:shd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  <w:t>Что делают студенты?</w:t>
            </w:r>
          </w:p>
        </w:tc>
        <w:tc>
          <w:tcPr>
            <w:tcW w:type="dxa" w:w="2324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  <w:shd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  <w:t>Результат для обучающихся</w:t>
            </w:r>
          </w:p>
        </w:tc>
        <w:tc>
          <w:tcPr>
            <w:tcW w:type="dxa" w:w="1701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  <w:shd w:fill="F4E2D2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  <w:t>Этап по Ганье</w:t>
            </w:r>
          </w:p>
        </w:tc>
        <w:tc>
          <w:tcPr>
            <w:tcW w:type="dxa" w:w="1474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  <w:shd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  <w:t>Ссылки на материалы</w:t>
            </w:r>
          </w:p>
        </w:tc>
      </w:tr>
      <w:t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0:00-0:07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Организационный вход и захват внимания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Показывает на доске задачу-разминку: при a,b&gt;0 доказать, что a+b≥2√ab, и просит предложить не только ответ, но и идею, почему такая оценка возникает в задачах. Фиксирует несколько гипотез учащихся.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Быстро предлагают идеи, вспоминают известные факты, участвуют в обсуждении.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Возникает интерес к теме; ученики понимают, что неравенства - это не формальность, а рабочий инструмент в задачах.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1. Привлечение внимания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Доска; слайд 1; листок-разминка</w:t>
            </w:r>
          </w:p>
        </w:tc>
      </w:tr>
      <w:t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0:07-0:12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Постановка целей занятия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Озвучивает тему, формат работы и ожидаемые результаты: распознавать AM-GM и КБШ, применять их в задачах и объяснять выбор метода.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Фиксируют цели, задают уточняющие вопросы.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Понимают маршрут занятия и критерии успеха.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2. Сообщение целей обучения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Слайд 2</w:t>
            </w:r>
          </w:p>
        </w:tc>
      </w:tr>
      <w:t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0:12-0:20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Актуализация опорных знаний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Через короткие вопросы напоминает свойства положительных чисел, квадрат суммы, базовые преобразования, идею оценки сверху и снизу. Предлагает устно восстановить формулировку AM-GM для двух чисел.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Отвечают на вопросы, проговаривают формулы, восстанавливают ранее изученные факты.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Актуализированы необходимые опоры для восприятия нового материала.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3. Актуализация предшествующих знаний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Мини-карточка 1; доска</w:t>
            </w:r>
          </w:p>
        </w:tc>
      </w:tr>
      <w:t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0:20-0:33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Введение неравенств о средних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Даёт наглядную формулировку неравенства между средним арифметическим и геометрическим, обсуждает условие равенства, показывает 2 типовых применения: оценка суммы при фиксированном произведении и оценка произведения при фиксированной сумме.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Следят за разбором, отвечают на наводящие вопросы, записывают опорную схему применения.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Понимают смысл AM-GM и видят типовые ситуации его использования.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4. Предъявление нового материала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Слайды 3-5; конспект-опора</w:t>
            </w:r>
          </w:p>
        </w:tc>
      </w:tr>
      <w:t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0:33-0:42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Введение КБШ на базовом уровне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Формулирует неравенство Коши-Буняковского-Шварца в удобной для 8-9 классов форме, показывает, как распознавать выражения вида (x1^2+...)(y1^2+...) и квадрат суммы. Разбирает одну задачу с полным объяснением логики выбора метода.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Соотносят новую формулу с примерами, комментируют, где именно 'виден' КБШ.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Получают первичное представление о КБШ и его зоне применимости.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4. Предъявление нового материала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Слайды 6-7; доска</w:t>
            </w:r>
          </w:p>
        </w:tc>
      </w:tr>
      <w:t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0:42-0:50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Направляемая практика: выбор метода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Раздаёт 4 короткие задачи и просит не решать полностью, а определить, какой инструмент лучше подходит: AM-GM, КБШ или элементарное преобразование. Обсуждает ответы и аргументы.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В парах анализируют условия, выбирают метод, объясняют выбор классу.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Учатся распознавать структуру задачи и соотносить её с методом решения.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5. Руководство обучением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Карточка 2</w:t>
            </w:r>
          </w:p>
        </w:tc>
      </w:tr>
      <w:t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0:50-1:05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Самостоятельная практика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Предлагает 2 задачи разного уровня: одну на прямое применение AM-GM, вторую - на КБШ или комбинирование методов. Во время работы помогает точечными вопросами, не раскрывая решение полностью.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Решают задачи индивидуально или в мини-группах, оформляют ход рассуждений.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Применяют изученные методы в самостоятельной работе; появляется опыт полного решения.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6. Организация выполнения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Листок с задачами 1-2</w:t>
            </w:r>
          </w:p>
        </w:tc>
      </w:tr>
      <w:t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1:05-1:15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Обратная связь и разбор типичных ошибок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Просит нескольких учеников представить решения, комментирует сильные стороны и ошибки: забытое условие положительности, неверное распознавание метода, потеря случая равенства. Показывает короткий эталон оформления.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Сравнивают свои решения с образцом, исправляют недочёты, задают вопросы.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Получают предметную и методическую обратную связь; уточняют критерии корректного решения.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7. Предоставление обратной связи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Доска; эталон решения</w:t>
            </w:r>
          </w:p>
        </w:tc>
      </w:tr>
      <w:t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1:15-1:20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Итог, рефлексия и перенос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Подводит итог: когда чаще всего помогают AM-GM и КБШ, предлагает завершить фразы 'В задаче я сначала проверю...' и 'Сегодня я понял, что...'. Даёт домашний мини-набор из 3 задач на перенос навыка.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Формулируют, что узнали, какие признаки метода будут искать дальше, записывают домашнее задание.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t>Фиксируют результат занятия и план переноса навыка в новые задачи.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8. Оценка результатов и поддержка переноса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Рефлексивная карточка; ДЗ-минилисток</w:t>
            </w:r>
          </w:p>
        </w:tc>
      </w:tr>
    </w:tbl>
    <w:p>
      <w:pPr>
        <w:sectPr>
          <w:pgSz w:w="15840" w:h="12240" w:orient="landscape"/>
          <w:pgMar w:top="850" w:right="680" w:bottom="850" w:left="680" w:header="720" w:footer="720" w:gutter="0"/>
          <w:cols w:space="720"/>
          <w:docGrid w:linePitch="360"/>
        </w:sectPr>
      </w:pPr>
    </w:p>
    <w:p>
      <w:r>
        <w:rPr>
          <w:b/>
          <w:color w:val="2031A8"/>
          <w:sz w:val="25"/>
        </w:rPr>
        <w:t>Краткое методическое обоснование</w:t>
      </w:r>
    </w:p>
    <w:p>
      <w:pPr>
        <w:spacing w:line="259" w:lineRule="auto"/>
      </w:pPr>
      <w:r>
        <w:t>Сценарий построен по модели Ганье, потому что она помогает сделать занятие логически последовательным: сначала вызвать интерес и опереться на уже известные учащимся идеи, затем ввести новый материал, организовать распознавание метода, самостоятельную практику и качественную обратную связь. Для темы олимпиадных неравенств это особенно важно, так как ученикам нужно не только запомнить формулировки, но и научиться видеть, в каких задачах именно этот инструмент будет наиболее уместен.</w:t>
      </w:r>
    </w:p>
    <w:sectPr w:rsidR="00FC693F" w:rsidRPr="0006063C" w:rsidSect="00034616">
      <w:pgSz w:w="15840" w:h="12240" w:orient="landscape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