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rPr>
          <w:b/>
        </w:rPr>
        <w:t>DOCUMENTO DE TRABAJO  ·  OCTUBRE 2026</w:t>
      </w:r>
    </w:p>
    <w:p>
      <w:pPr>
        <w:pStyle w:val="Title"/>
      </w:pPr>
      <w:r>
        <w:t>POS DE ESCRITORIO PARA COMERCIOS DE VENEZUELA</w:t>
      </w:r>
    </w:p>
    <w:p>
      <w:pPr>
        <w:pStyle w:val="Heading2"/>
      </w:pPr>
      <w:r>
        <w:t>Documento maestro de producto, arquitectura y calidad</w:t>
      </w:r>
    </w:p>
    <w:p>
      <w:r>
        <w:rPr>
          <w:b/>
        </w:rPr>
        <w:t>Versión:</w:t>
      </w:r>
      <w:r>
        <w:t xml:space="preserve"> 1.0 — 8 de octubre de 2026</w:t>
      </w:r>
    </w:p>
    <w:p>
      <w:r>
        <w:rPr>
          <w:b/>
        </w:rPr>
        <w:t>Estado:</w:t>
      </w:r>
      <w:r>
        <w:t xml:space="preserve"> propuesta técnica inicial para validación antes de codificar</w:t>
      </w:r>
    </w:p>
    <w:p>
      <w:r>
        <w:rPr>
          <w:b/>
        </w:rPr>
        <w:t>Mercado inicial:</w:t>
      </w:r>
      <w:r>
        <w:t xml:space="preserve"> bodegas, abastos, minimarkets y pequeños comercios venezolanos</w:t>
      </w:r>
    </w:p>
    <w:p>
      <w:r>
        <w:rPr>
          <w:b/>
        </w:rPr>
        <w:t>Visión de crecimiento:</w:t>
      </w:r>
      <w:r>
        <w:t xml:space="preserve"> tiendas con una o varias cajas, y módulos comerciales adicionales</w:t>
      </w:r>
    </w:p>
    <w:p>
      <w:pPr>
        <w:pStyle w:val="SmallNote"/>
        <w:ind w:left="274"/>
      </w:pPr>
      <w:r>
        <w:t>IDEA CENTRAL. Abrir el programa e iniciar ventas inmediatamente. El inventario, caja, seguridad y reportes deben trabajar detrás del POS sin convertir una venta simple en un trámite administrativo.</w:t>
      </w:r>
    </w:p>
    <w:p>
      <w:pPr>
        <w:pStyle w:val="Heading1"/>
      </w:pPr>
      <w:r>
        <w:t>1. Resumen ejecutivo</w:t>
      </w:r>
    </w:p>
    <w:p>
      <w:r>
        <w:t xml:space="preserve">Se desarrollará una aplicación </w:t>
      </w:r>
      <w:r>
        <w:rPr>
          <w:b/>
        </w:rPr>
        <w:t>de escritorio real para Windows</w:t>
      </w:r>
      <w:r>
        <w:t>, con C# y WPF sobre .NET 10 LTS. La interfaz estará centrada en la venta, inspirada en la captura de un POS clásico que el propietario compartió: importes muy visibles, renglones de productos, teclado, escáner y herramientas de acceso rápido a la derecha. Se modernizará la legibilidad y se eliminará fricción (publicidad, navegación excesiva, pantallas superpuestas innecesarias).</w:t>
      </w:r>
    </w:p>
    <w:p>
      <w:r>
        <w:t xml:space="preserve">La misma aplicación tendrá tres roles de instalación: </w:t>
      </w:r>
      <w:r>
        <w:rPr>
          <w:b/>
        </w:rPr>
        <w:t>Servidor + POS</w:t>
      </w:r>
      <w:r>
        <w:t xml:space="preserve">, </w:t>
      </w:r>
      <w:r>
        <w:rPr>
          <w:b/>
        </w:rPr>
        <w:t>Solo POS</w:t>
      </w:r>
      <w:r>
        <w:t xml:space="preserve"> y </w:t>
      </w:r>
      <w:r>
        <w:rPr>
          <w:b/>
        </w:rPr>
        <w:t>Solo servidor</w:t>
      </w:r>
      <w:r>
        <w:t xml:space="preserve">. Un servicio de aplicación .NET y PostgreSQL centralizarán la lógica y la persistencia tanto en una PC individual como en varias cajas por LAN. El comercio debe poder vender </w:t>
      </w:r>
      <w:r>
        <w:rPr>
          <w:b/>
        </w:rPr>
        <w:t>sin internet</w:t>
      </w:r>
      <w:r>
        <w:t>, pero las cajas remotas requerirán comunicación con el servidor local: la caída de un servidor no se confunde con la caída de internet.</w:t>
      </w:r>
    </w:p>
    <w:p>
      <w:r>
        <w:t xml:space="preserve">La solución será un </w:t>
      </w:r>
      <w:r>
        <w:rPr>
          <w:b/>
        </w:rPr>
        <w:t>monolito modular</w:t>
      </w:r>
      <w:r>
        <w:t xml:space="preserve"> con componentes C# compilados en DLL y arquitectura verificable por pruebas. Habrá módulos incluidos por defecto y módulos comerciales opcionales, sin crear microservicios ni un sistema de plugins dinámicos prematuramente.</w:t>
      </w:r>
    </w:p>
    <w:p>
      <w:pPr>
        <w:pStyle w:val="Heading1"/>
      </w:pPr>
      <w:r>
        <w:t>2. Público, contexto y prioridades del producto</w:t>
      </w:r>
    </w:p>
    <w:p>
      <w:r>
        <w:rPr>
          <w:b/>
        </w:rPr>
        <w:t>Usuarios:</w:t>
      </w:r>
      <w:r>
        <w:t xml:space="preserve"> cajero (vende con rapidez), supervisor (autoriza descuentos y excepciones), administrador/propietario (precios, inventario, caja y reportes), técnico de soporte (instala/diagnostica, sin acceso financiero por defecto).</w:t>
      </w:r>
    </w:p>
    <w:p>
      <w:r>
        <w:rPr>
          <w:b/>
        </w:rPr>
        <w:t>Casos objetivo:</w:t>
      </w:r>
      <w:r>
        <w:t xml:space="preserve"> un bodeguero con una PC, un minimarket con dos o tres cajas, una tienda mediana que decide utilizar PC dedicada como servidor. La interfaz se diseñará para teclado, escáner tipo teclado HID y ratón opcional.</w:t>
      </w:r>
    </w:p>
    <w:p>
      <w:r>
        <w:rPr>
          <w:b/>
        </w:rPr>
        <w:t>Principios de experiencia:</w:t>
      </w:r>
    </w:p>
    <w:p>
      <w:pPr>
        <w:pStyle w:val="ListBullet"/>
        <w:spacing w:after="50"/>
        <w:ind w:left="331" w:hanging="144"/>
      </w:pPr>
      <w:r>
        <w:t>Abrir directamente en POS tras iniciar sesión / seleccionar turno, sin dashboard obligatorio.</w:t>
      </w:r>
    </w:p>
    <w:p>
      <w:pPr>
        <w:pStyle w:val="ListBullet"/>
        <w:spacing w:after="50"/>
        <w:ind w:left="331" w:hanging="144"/>
      </w:pPr>
      <w:r>
        <w:t>Pocas acciones para vender: escanear, cambiar cantidad, cobrar, imprimir si aplica.</w:t>
      </w:r>
    </w:p>
    <w:p>
      <w:pPr>
        <w:pStyle w:val="ListBullet"/>
        <w:spacing w:after="50"/>
        <w:ind w:left="331" w:hanging="144"/>
      </w:pPr>
      <w:r>
        <w:t>Menú derecho visible y configurable; un cambio frecuente autorizado, como la tasa, a uno o dos pasos.</w:t>
      </w:r>
    </w:p>
    <w:p>
      <w:pPr>
        <w:pStyle w:val="ListBullet"/>
        <w:spacing w:after="50"/>
        <w:ind w:left="331" w:hanging="144"/>
      </w:pPr>
      <w:r>
        <w:t>Evitar registros obligatorios de cliente para venta al contado; el cliente genérico es válido si el régimen aplicable lo permite.</w:t>
      </w:r>
    </w:p>
    <w:p>
      <w:pPr>
        <w:pStyle w:val="ListBullet"/>
        <w:spacing w:after="50"/>
        <w:ind w:left="331" w:hanging="144"/>
      </w:pPr>
      <w:r>
        <w:t>Mensajes claros, accesibles, sin códigos de error incomprensibles; usar montos grandes en moneda elegida.</w:t>
      </w:r>
    </w:p>
    <w:p>
      <w:pPr>
        <w:pStyle w:val="ListBullet"/>
        <w:spacing w:after="50"/>
        <w:ind w:left="331" w:hanging="144"/>
      </w:pPr>
      <w:r>
        <w:t>No comprometer integridad financiera para ganar algunos milisegundos de respuesta.</w:t>
      </w:r>
    </w:p>
    <w:p>
      <w:r>
        <w:rPr>
          <w:b/>
        </w:rPr>
        <w:t>Objetivos de UX para evaluar en piloto (no promesas):</w:t>
      </w:r>
      <w:r>
        <w:t xml:space="preserve"> escaneo a carrito p95 &lt; 200 ms en hardware de referencia; confirmación de venta LAN p95 &lt; 1 s sin tiempo de impresora; operaciones rutinarias completas sin ratón; instalación guiada por técnico sin terminal de comandos en PC del cliente. Los límites se ajustarán con medición real.</w:t>
      </w:r>
    </w:p>
    <w:p>
      <w:pPr>
        <w:pStyle w:val="Heading1"/>
      </w:pPr>
      <w:r>
        <w:t>3. Decisiones arquitectónicas propuestas (ADR-001)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cantSplit/>
          <w:tblHeader w:val="true"/>
        </w:trPr>
        <w:tc>
          <w:tcPr>
            <w:tcW w:type="dxa" w:w="3235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235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Propuesta</w:t>
            </w:r>
          </w:p>
        </w:tc>
        <w:tc>
          <w:tcPr>
            <w:tcW w:type="dxa" w:w="3235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Razón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Lenguaje y runtime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C# + .NET 10 LTS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Ecosistema Windows, soporte prolongado y tooling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Escritorio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WPF/XAML + MVVM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UI Windows real, teclado, data binding, comandos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Modelo de proceso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WPF cliente + servicio de aplicación .NET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Un mismo camino para PC única y multicaja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Empaquetado negocio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DLL por capas y módulos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Reutilización, aislamiento y pruebas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Persistencia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PostgreSQL en todas las modalidades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Transacciones robustas, control de concurrencia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Acceso a datos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EF Core + Npgsql; SQL dirigido cuando proceda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Consistencia y mantenibilidad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Comunicación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API local/LAN versionada; eventos push opcionales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Transparencia de red y clientes futuros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Arquitectura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Monolito modular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Menos complejidad operativa y límites claros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Desarrollo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TDD + integraciones + mutación + CI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Calidad verificable de reglas críticas</w:t>
            </w:r>
          </w:p>
        </w:tc>
      </w:tr>
    </w:tbl>
    <w:p>
      <w:pPr>
        <w:spacing w:after="20"/>
      </w:pPr>
    </w:p>
    <w:p>
      <w:r>
        <w:rPr>
          <w:b/>
        </w:rPr>
        <w:t>Aclaración sobre las DLL.</w:t>
      </w:r>
      <w:r>
        <w:t xml:space="preserve"> En .NET, una DLL es una biblioteca cargada por un proceso, no una alternativa automática a un servidor. Una llamada local puede ahorrar transporte, pero en multicaja la coordinación requiere comunicación por red. Para evitar bifurcar lógica y seguridad, el servicio de aplicación ejecutará las mismas bibliotecas en ambos modos. WPF accederá por loopback en PC única y por LAN en cajas remotas. Una optimización in-process solo se consideraría si un benchmark demuestra un cuello de botella y se preserva el mismo contrato.</w:t>
      </w:r>
    </w:p>
    <w:p>
      <w:r>
        <w:rPr>
          <w:b/>
        </w:rPr>
        <w:t>Elección de versión.</w:t>
      </w:r>
      <w:r>
        <w:t xml:space="preserve"> .NET 10 LTS es una base razonable a octubre de 2026; revisar parches de seguridad y soporte antes de cada liberación. No utilizar .NET Framework antiguo para un proyecto nuevo.</w:t>
      </w:r>
    </w:p>
    <w:p>
      <w:pPr>
        <w:pStyle w:val="Heading1"/>
      </w:pPr>
      <w:r>
        <w:t>4. Diagramas de despliegue</w:t>
      </w:r>
    </w:p>
    <w:p>
      <w:pPr>
        <w:pStyle w:val="Heading2"/>
      </w:pPr>
      <w:r>
        <w:t>4.1 Una computadora (Servidor + POS)</w:t>
      </w:r>
    </w:p>
    <w:p>
      <w:pPr>
        <w:pStyle w:val="CodeCompact"/>
        <w:spacing w:after="80"/>
      </w:pPr>
      <w:r>
        <w:t>[Teclado / escáner / impresora] → [POS WPF en Windows] → [API .NET sobre 127.0.0.1] → [Módulos DLL] → [PostgreSQL local]</w:t>
      </w:r>
    </w:p>
    <w:p>
      <w:r>
        <w:t>El servicio y la base de datos arrancan con Windows. Si no hay internet, el comercio vende normalmente. Si cae el servicio o PostgreSQL, el POS no puede confirmar ventas y muestra diagnóstico/reintento, sin guardar supuestas ventas definitivas solo en pantalla.</w:t>
      </w:r>
    </w:p>
    <w:p>
      <w:pPr>
        <w:pStyle w:val="Heading2"/>
      </w:pPr>
      <w:r>
        <w:t>4.2 Varias cajas por red local</w:t>
      </w:r>
    </w:p>
    <w:p>
      <w:pPr>
        <w:pStyle w:val="CodeCompact"/>
        <w:spacing w:after="80"/>
      </w:pPr>
      <w:r>
        <w:t>[Caja 01 WPF]  ─┐</w:t>
      </w:r>
    </w:p>
    <w:p>
      <w:pPr>
        <w:pStyle w:val="CodeCompact"/>
        <w:spacing w:after="80"/>
      </w:pPr>
      <w:r>
        <w:t>[Caja 02 WPF]  ─┼── LAN segura → [Servicio .NET central + módulos DLL] → [PostgreSQL central]</w:t>
      </w:r>
    </w:p>
    <w:p>
      <w:pPr>
        <w:pStyle w:val="CodeCompact"/>
        <w:spacing w:after="80"/>
      </w:pPr>
      <w:r>
        <w:t>[Caja 03 WPF]  ─┘</w:t>
      </w:r>
    </w:p>
    <w:p>
      <w:r>
        <w:t>Cada caja tiene identidad, operador, permisos y sesión de caja. Las modificaciones de stock suceden centralizadamente. Se permite servidor dedicado o una caja principal que también ejecute servidor. Si la LAN falla, la caja cliente no puede confirmar ventas en v1; el modo contingencia con sincronización y resolución de conflictos será un proyecto posterior explícito.</w:t>
      </w:r>
    </w:p>
    <w:p>
      <w:pPr>
        <w:pStyle w:val="Heading2"/>
      </w:pPr>
      <w:r>
        <w:t>4.3 Modos del instalador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cantSplit/>
          <w:tblHeader w:val="true"/>
        </w:trPr>
        <w:tc>
          <w:tcPr>
            <w:tcW w:type="dxa" w:w="3235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3235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3235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Servidor + POS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WPF, servicio .NET, PostgreSQL, herramientas de backup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Bodega de una PC / caja principal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Solo POS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WPF, drivers/soporte de periféricos, emparejamiento seguro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Caja adicional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Solo servidor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Servicio, PostgreSQL, backup, administración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PC o mini-PC dedicada</w:t>
            </w:r>
          </w:p>
        </w:tc>
      </w:tr>
    </w:tbl>
    <w:p>
      <w:pPr>
        <w:spacing w:after="20"/>
      </w:pPr>
    </w:p>
    <w:p>
      <w:r>
        <w:t>Docker/contenerización se permite en desarrollo, CI y pruebas; NO es requisito operativo de las computadoras cliente. El instalador debe comprobar prerrequisitos, puertos, disco, antivirus/firewall, identidad del servidor, y contar con desinstalación/actualización segura.</w:t>
      </w:r>
    </w:p>
    <w:p>
      <w:pPr>
        <w:pStyle w:val="Heading1"/>
      </w:pPr>
      <w:r>
        <w:t>5. Experiencia de usuario y pantalla principal</w:t>
      </w:r>
    </w:p>
    <w:p>
      <w:r>
        <w:rPr>
          <w:b/>
        </w:rPr>
        <w:t>Distribución de referencia:</w:t>
      </w:r>
      <w:r>
        <w:t xml:space="preserve"> cabecera con estado de caja y tasa, buscador superior con foco permanente para lectura de códigos, tabla/carrito central, total altamente visible, área de cobro y menú vertical de herramientas a la derecha. La captura aportada sirve como referencia de flujo, no de paleta, tipografía ni estética final.</w:t>
      </w:r>
    </w:p>
    <w:p>
      <w:r>
        <w:rPr>
          <w:b/>
        </w:rPr>
        <w:t>Acciones inmediatas:</w:t>
      </w:r>
      <w:r>
        <w:t xml:space="preserve"> leer código, buscar por SKU/nombre, sumar unidades, retirar renglón con confirmación cuando corresponda, pausar/reanudar venta, elegir cliente opcional, cobro mixto, imprimir/reimprimir con auditoría. Mostrar estado del servidor distinto al de internet y señalar si la tasa usada es antigua.</w:t>
      </w:r>
    </w:p>
    <w:p>
      <w:r>
        <w:rPr>
          <w:b/>
        </w:rPr>
        <w:t>Atajos propuestos (ajustables tras investigación con cajeros):</w:t>
      </w:r>
      <w:r>
        <w:t xml:space="preserve"> F1 cliente; F2 buscar producto; F4 cantidad; F5 suspender/recuperar; F6 descuentos según permiso; F8 pagos; F9 fiados; F10 caja; F11 historial; F12 cobrar. No usar atajos que colisionen con controles de WPF/Windows sin evaluar ergonomía.</w:t>
      </w:r>
    </w:p>
    <w:p>
      <w:r>
        <w:rPr>
          <w:b/>
        </w:rPr>
        <w:t>Accesibilidad:</w:t>
      </w:r>
      <w:r>
        <w:t xml:space="preserve"> 1366×768 como resolución mínima a validar, escala 100–150 %, navegación teclado completa, tamaños legibles, contraste y estado de foco visibles, diálogos no bloqueantes excepto confirmación de operaciones críticas. Sin publicidad ni paneles recargados.</w:t>
      </w:r>
    </w:p>
    <w:p>
      <w:pPr>
        <w:pStyle w:val="Heading1"/>
      </w:pPr>
      <w:r>
        <w:t>6. Módulos INCLUIDOS por defecto en el producto 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cantSplit/>
          <w:tblHeader w:val="true"/>
        </w:trPr>
        <w:tc>
          <w:tcPr>
            <w:tcW w:type="dxa" w:w="3235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235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Capacidades MVP</w:t>
            </w:r>
          </w:p>
        </w:tc>
        <w:tc>
          <w:tcPr>
            <w:tcW w:type="dxa" w:w="3235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Restricciones/consideraciones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01. POS y ventas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carrito, barcode, búsqueda, cobro, suspensión, historial, devoluciones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confirmación idempotente; no borrar ventas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02. Productos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SKU, múltiples códigos, categorías, unidades/presentación, precio/costo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SKU único por instalación, productos inactivos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03. Inventario básico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recepciones, salidas, ajustes, movimientos, mínimos, stock disponible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ajustes con permiso; eventos inmutables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04. Precios/tasas/impuestos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USD/Bs, tasa vigente e histórica, descuentos, reglas de redondeo, parametrización de IVA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nada de impuestos o tasa fija hardcodeada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05. Caja/pagos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apertura, cierre, arqueo, retiros/ingresos, medios y pagos mixtos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por operador/terminal; conciliación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06. Clientes/fiados básicos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clientes opcionales, límites, ventas fiadas, abonos, saldo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autorización y libro de movimientos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07. Usuarios y seguridad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roles, permisos, PIN de aprobación, bloqueo, sesiones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hash individual, auditoría y mínimos privilegios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08. Reportes esenciales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ventas, caja, stock bajo, cuentas por cobrar, movimientos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exportación simple, acceso por rol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09. Configuración/operación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negocio, terminal, periféricos, respaldo, restauración, diagnóstico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respaldos automáticos y ensayos de restore</w:t>
            </w:r>
          </w:p>
        </w:tc>
      </w:tr>
    </w:tbl>
    <w:p>
      <w:pPr>
        <w:spacing w:after="20"/>
      </w:pPr>
    </w:p>
    <w:p>
      <w:r>
        <w:rPr>
          <w:b/>
        </w:rPr>
        <w:t>Regla comercial:</w:t>
      </w:r>
      <w:r>
        <w:t xml:space="preserve"> los nueve módulos del producto base no podrán bloquear una operación esencial porque falte un módulo de pago. Las futuras funciones de reportes avanzados u operaciones de cadena serán adicionales; no se degradará la estabilidad del núcleo.</w:t>
      </w:r>
    </w:p>
    <w:p>
      <w:pPr>
        <w:pStyle w:val="Heading1"/>
      </w:pPr>
      <w:r>
        <w:t>7. Módulos opcionales y licencias futuras</w:t>
      </w:r>
    </w:p>
    <w:p>
      <w:r>
        <w:rPr>
          <w:b/>
        </w:rPr>
        <w:t>Oportunidades comerciales:</w:t>
      </w:r>
      <w:r>
        <w:t xml:space="preserve"> compras avanzadas y cuentas a proveedores; múltiples almacenes/sucursales con transferencias; promociones/cupones/combos; fidelización; reportes BI; integraciones fiscales certificadas cuando correspondan; conectores externos; sincronización y backups en nube; API de terceros; multiempresa administrada.</w:t>
      </w:r>
    </w:p>
    <w:p>
      <w:r>
        <w:t xml:space="preserve">Diseñar </w:t>
      </w:r>
      <w:r>
        <w:rPr>
          <w:b/>
        </w:rPr>
        <w:t>feature flags/entitlements verificados por el servicio</w:t>
      </w:r>
      <w:r>
        <w:t>, asociados a una licencia firmada y al equipo/instalación según política definida. El código del módulo puede distribuirse con la aplicación o por paquetes, pero copiar una DLL no concede permiso. Validar funcionamiento offline, periodos de gracia, recuperación por cambio de hardware y transferencia de licencia. No crear un marketplace/plugin loader antes de confirmar necesidad real.</w:t>
      </w:r>
    </w:p>
    <w:p>
      <w:pPr>
        <w:pStyle w:val="Heading1"/>
      </w:pPr>
      <w:r>
        <w:t>8. Límites de módulos, estructura de solución y dependencias</w:t>
      </w:r>
    </w:p>
    <w:p>
      <w:pPr>
        <w:pStyle w:val="CodeCompact"/>
        <w:ind w:left="230"/>
      </w:pPr>
      <w:r>
        <w:t>Pos.sln</w:t>
      </w:r>
    </w:p>
    <w:p>
      <w:pPr>
        <w:pStyle w:val="CodeCompact"/>
        <w:ind w:left="230"/>
      </w:pPr>
      <w:r>
        <w:t>src/</w:t>
      </w:r>
    </w:p>
    <w:p>
      <w:pPr>
        <w:pStyle w:val="CodeCompact"/>
        <w:ind w:left="230"/>
      </w:pPr>
      <w:r>
        <w:t xml:space="preserve">  Pos.Desktop/                # WPF, MVVM, teclado, periféricos</w:t>
      </w:r>
    </w:p>
    <w:p>
      <w:pPr>
        <w:pStyle w:val="CodeCompact"/>
        <w:ind w:left="230"/>
      </w:pPr>
      <w:r>
        <w:t xml:space="preserve">  Pos.Server/                 # ASP.NET Core, Windows Service, DI, endpoints</w:t>
      </w:r>
    </w:p>
    <w:p>
      <w:pPr>
        <w:pStyle w:val="CodeCompact"/>
        <w:ind w:left="230"/>
      </w:pPr>
      <w:r>
        <w:t xml:space="preserve">  Pos.Shared.Contracts/       # DTO, contratos versionados, errores de API</w:t>
      </w:r>
    </w:p>
    <w:p>
      <w:pPr>
        <w:pStyle w:val="CodeCompact"/>
        <w:ind w:left="230"/>
      </w:pPr>
      <w:r>
        <w:t xml:space="preserve">  Pos.BuildingBlocks/         # Value objects y abstracciones realmente comunes</w:t>
      </w:r>
    </w:p>
    <w:p>
      <w:pPr>
        <w:pStyle w:val="CodeCompact"/>
        <w:ind w:left="230"/>
      </w:pPr>
      <w:r>
        <w:t xml:space="preserve">  Modules/</w:t>
      </w:r>
    </w:p>
    <w:p>
      <w:pPr>
        <w:pStyle w:val="CodeCompact"/>
        <w:ind w:left="230"/>
      </w:pPr>
      <w:r>
        <w:t xml:space="preserve">    Catalog/{Domain,Application,Infrastructure}/</w:t>
      </w:r>
    </w:p>
    <w:p>
      <w:pPr>
        <w:pStyle w:val="CodeCompact"/>
        <w:ind w:left="230"/>
      </w:pPr>
      <w:r>
        <w:t xml:space="preserve">    Inventory/{Domain,Application,Infrastructure}/</w:t>
      </w:r>
    </w:p>
    <w:p>
      <w:pPr>
        <w:pStyle w:val="CodeCompact"/>
        <w:ind w:left="230"/>
      </w:pPr>
      <w:r>
        <w:t xml:space="preserve">    Sales/{Domain,Application,Infrastructure}/</w:t>
      </w:r>
    </w:p>
    <w:p>
      <w:pPr>
        <w:pStyle w:val="CodeCompact"/>
        <w:ind w:left="230"/>
      </w:pPr>
      <w:r>
        <w:t xml:space="preserve">    Pricing/{Domain,Application,Infrastructure}/</w:t>
      </w:r>
    </w:p>
    <w:p>
      <w:pPr>
        <w:pStyle w:val="CodeCompact"/>
        <w:ind w:left="230"/>
      </w:pPr>
      <w:r>
        <w:t xml:space="preserve">    Cash/{Domain,Application,Infrastructure}/</w:t>
      </w:r>
    </w:p>
    <w:p>
      <w:pPr>
        <w:pStyle w:val="CodeCompact"/>
        <w:ind w:left="230"/>
      </w:pPr>
      <w:r>
        <w:t xml:space="preserve">    Customers/{Domain,Application,Infrastructure}/</w:t>
      </w:r>
    </w:p>
    <w:p>
      <w:pPr>
        <w:pStyle w:val="CodeCompact"/>
        <w:ind w:left="230"/>
      </w:pPr>
      <w:r>
        <w:t xml:space="preserve">    Identity/{Domain,Application,Infrastructure}/</w:t>
      </w:r>
    </w:p>
    <w:p>
      <w:pPr>
        <w:pStyle w:val="CodeCompact"/>
        <w:ind w:left="230"/>
      </w:pPr>
      <w:r>
        <w:t xml:space="preserve">    Reporting/{Domain,Application,Infrastructure}/</w:t>
      </w:r>
    </w:p>
    <w:p>
      <w:pPr>
        <w:pStyle w:val="CodeCompact"/>
        <w:ind w:left="230"/>
      </w:pPr>
      <w:r>
        <w:t xml:space="preserve">    Licensing/{Domain,Application,Infrastructure}/</w:t>
      </w:r>
    </w:p>
    <w:p>
      <w:pPr>
        <w:pStyle w:val="CodeCompact"/>
        <w:ind w:left="230"/>
      </w:pPr>
      <w:r>
        <w:t xml:space="preserve">    Operations/{Domain,Application,Infrastructure}/</w:t>
      </w:r>
    </w:p>
    <w:p>
      <w:pPr>
        <w:pStyle w:val="CodeCompact"/>
        <w:ind w:left="230"/>
      </w:pPr>
      <w:r>
        <w:t>tests/</w:t>
      </w:r>
    </w:p>
    <w:p>
      <w:pPr>
        <w:pStyle w:val="CodeCompact"/>
        <w:ind w:left="230"/>
      </w:pPr>
      <w:r>
        <w:t xml:space="preserve">  Pos.Domain.Tests/</w:t>
      </w:r>
    </w:p>
    <w:p>
      <w:pPr>
        <w:pStyle w:val="CodeCompact"/>
        <w:ind w:left="230"/>
      </w:pPr>
      <w:r>
        <w:t xml:space="preserve">  Pos.Application.Tests/</w:t>
      </w:r>
    </w:p>
    <w:p>
      <w:pPr>
        <w:pStyle w:val="CodeCompact"/>
        <w:ind w:left="230"/>
      </w:pPr>
      <w:r>
        <w:t xml:space="preserve">  Pos.Integration.Tests/</w:t>
      </w:r>
    </w:p>
    <w:p>
      <w:pPr>
        <w:pStyle w:val="CodeCompact"/>
        <w:ind w:left="230"/>
      </w:pPr>
      <w:r>
        <w:t xml:space="preserve">  Pos.Architecture.Tests/</w:t>
      </w:r>
    </w:p>
    <w:p>
      <w:pPr>
        <w:pStyle w:val="CodeCompact"/>
        <w:ind w:left="230"/>
      </w:pPr>
      <w:r>
        <w:t xml:space="preserve">  Pos.EndToEnd.Tests/</w:t>
      </w:r>
    </w:p>
    <w:p>
      <w:pPr>
        <w:pStyle w:val="CodeCompact"/>
        <w:ind w:left="230"/>
      </w:pPr>
      <w:r>
        <w:t>installer/</w:t>
      </w:r>
    </w:p>
    <w:p>
      <w:pPr>
        <w:pStyle w:val="CodeCompact"/>
        <w:ind w:left="230"/>
      </w:pPr>
      <w:r>
        <w:t>docs/adr/</w:t>
      </w:r>
    </w:p>
    <w:p>
      <w:pPr>
        <w:pStyle w:val="CodeCompact"/>
        <w:ind w:left="230"/>
      </w:pPr>
      <w:r>
        <w:t>docs/specs/</w:t>
      </w:r>
    </w:p>
    <w:p>
      <w:pPr>
        <w:pStyle w:val="CodeCompact"/>
        <w:ind w:left="230"/>
      </w:pPr>
      <w:r>
        <w:t>docs/runbooks/</w:t>
      </w:r>
    </w:p>
    <w:p>
      <w:pPr>
        <w:pStyle w:val="CodeCompact"/>
        <w:ind w:left="230"/>
      </w:pPr>
      <w:r>
        <w:t>build/</w:t>
      </w:r>
    </w:p>
    <w:p>
      <w:pPr>
        <w:spacing w:after="0"/>
      </w:pPr>
    </w:p>
    <w:p>
      <w:r>
        <w:rPr>
          <w:b/>
        </w:rPr>
        <w:t>Regla de dependencias:</w:t>
      </w:r>
      <w:r>
        <w:t xml:space="preserve"> Domain no referencia WPF, EF, ASP.NET, infraestructura ni servicios exteriores. Application orquesta casos de uso y depende de puertos. Infrastructure implementa adaptadores. API valida sesión/permisos y abre el caso de uso. WPF no accede a PostgreSQL. Los módulos integran por contratos/eventos internos, no editan arbitrariamente tablas ajenas. Decidir límites de esquemas PostgreSQL por módulo según coste; no introducir diez DbContexts por moda.</w:t>
      </w:r>
    </w:p>
    <w:p>
      <w:r>
        <w:rPr>
          <w:b/>
        </w:rPr>
        <w:t>Entidades mínimas:</w:t>
      </w:r>
      <w:r>
        <w:t xml:space="preserve"> Business, Terminal, User/Role/Permission, Customer, Product/ProductBarcode/Category/Unit, StockLocation, InventoryMovement, StockBalance como proyección, Price, ExchangeRate, TaxRule, Sale/SaleLine/SalePayment, SaleStatusHistory, CashSession/CashMovement, Receivable/ReceivablePayment, SupervisorApproval, AuditEvent, LicenseEntitlement, DeviceConfiguration, BackupJob, IdempotencyRecord.</w:t>
      </w:r>
    </w:p>
    <w:p>
      <w:r>
        <w:rPr>
          <w:b/>
        </w:rPr>
        <w:t>Características transversales:</w:t>
      </w:r>
      <w:r>
        <w:t xml:space="preserve"> IDs duraderos (UUID), tiempos UTC y visualización local, migraciones versionadas, columnas de revisión donde proceda, restricciones y claves foráneas reales, índices de escaneo/SKU, campos financieros decimal/numeric, auditoría inmutable donde sea crítico.</w:t>
      </w:r>
    </w:p>
    <w:p>
      <w:pPr>
        <w:pStyle w:val="Heading1"/>
      </w:pPr>
      <w:r>
        <w:t>9. Integridad de ventas, dinero y existencias</w:t>
      </w:r>
    </w:p>
    <w:p>
      <w:r>
        <w:t xml:space="preserve">Una venta exige operación idempotente con </w:t>
      </w:r>
      <w:r>
        <w:rPr>
          <w:rFonts w:ascii="Consolas" w:hAnsi="Consolas"/>
          <w:sz w:val="16"/>
        </w:rPr>
        <w:t>idempotency_key</w:t>
      </w:r>
      <w:r>
        <w:t xml:space="preserve">, </w:t>
      </w:r>
      <w:r>
        <w:rPr>
          <w:rFonts w:ascii="Consolas" w:hAnsi="Consolas"/>
          <w:sz w:val="16"/>
        </w:rPr>
        <w:t>terminal_id</w:t>
      </w:r>
      <w:r>
        <w:t>, usuario, caja y comando de venta. El servicio comprueba autorización, precios, descuento, política de stock y tasa vigente. Snapshot de precio, impuestos, tasa y moneda queda inmutable en líneas/documento.</w:t>
      </w:r>
    </w:p>
    <w:p>
      <w:r>
        <w:t>La transacción PostgreSQL debe registrar venta, líneas, pagos conocidos, movimientos de inventario y auditoría de forma atómica. Para última unidad disputada: usar actualización condicional/bloqueo o enfoque demostrado por prueba de integración concurrente. No permitir que dos cajas vendan existencias que solo alcanzan para una, salvo política explícita y auditada de stock negativo. Para reintentos por falla de red, la misma clave con igual comando devuelve mismo resultado; una clave reutilizada con distinto contenido produce conflicto.</w:t>
      </w:r>
    </w:p>
    <w:p>
      <w:r>
        <w:rPr>
          <w:b/>
        </w:rPr>
        <w:t>Impresión y externos:</w:t>
      </w:r>
      <w:r>
        <w:t xml:space="preserve"> nunca mantener una transacción abierta esperando impresora. Confirmar venta → persistir estado → intentar imprimir. Si falla, permitir reimpresión sin descontar stock o duplicar cobro. Integración con medios de pago externos requerirá estado pendiente/reconciliación y no se simulará un pago aprobado.</w:t>
      </w:r>
    </w:p>
    <w:p>
      <w:r>
        <w:rPr>
          <w:b/>
        </w:rPr>
        <w:t>Devolución/anulación:</w:t>
      </w:r>
      <w:r>
        <w:t xml:space="preserve"> no eliminar una venta histórica. Emitir operación referenciada y movimiento inverso con permiso y trazabilidad. Las reglas de descuentos, impuestos, tasa, pagos mixtos y saldo de fiado deben probarse para redondeos y fallos parciales.</w:t>
      </w:r>
    </w:p>
    <w:p>
      <w:pPr>
        <w:pStyle w:val="Heading1"/>
      </w:pPr>
      <w:r>
        <w:t>10. Modelo de permisos, PIN y auditoría</w:t>
      </w:r>
    </w:p>
    <w:p>
      <w:r>
        <w:rPr>
          <w:b/>
        </w:rPr>
        <w:t>Cajero:</w:t>
      </w:r>
      <w:r>
        <w:t xml:space="preserve"> vender, buscar productos, clientes permitidos, registrar medios de pago y consultar su caja. </w:t>
      </w:r>
      <w:r>
        <w:rPr>
          <w:b/>
        </w:rPr>
        <w:t>Supervisor:</w:t>
      </w:r>
      <w:r>
        <w:t xml:space="preserve"> descuentos mayores, devoluciones, anulaciones justificadas, apertura de excepciones. </w:t>
      </w:r>
      <w:r>
        <w:rPr>
          <w:b/>
        </w:rPr>
        <w:t>Administrador:</w:t>
      </w:r>
      <w:r>
        <w:t xml:space="preserve"> configuración, tasas, precios según política, usuarios, ajustes de inventario, licencias, backup y reportes sensibles.</w:t>
      </w:r>
    </w:p>
    <w:p>
      <w:r>
        <w:t xml:space="preserve">Una acción protegida genera </w:t>
      </w:r>
      <w:r>
        <w:rPr>
          <w:rFonts w:ascii="Consolas" w:hAnsi="Consolas"/>
          <w:sz w:val="16"/>
        </w:rPr>
        <w:t>SupervisorApproval</w:t>
      </w:r>
      <w:r>
        <w:t>: quién solicita, qué operación y objeto, PIN/autenticación individual del autorizador, instante, alcance y resultado. No usar un PIN universal; no guardar PIN en texto plano; aplicar hash resistente, sal, límite de intentos, vencimiento y protección frente a reutilización. La autorización permite únicamente la operación descrita (no abre una sesión de privilegios indefinida).</w:t>
      </w:r>
    </w:p>
    <w:p>
      <w:r>
        <w:t>Auditar cambios de tasa, precios, costos cuando proceda, anulaciones, devoluciones, ajustes, fiados, permisos, inicios/cierres de caja y operaciones de restauración. Los logs técnicos y la auditoría comercial no son lo mismo.</w:t>
      </w:r>
    </w:p>
    <w:p>
      <w:pPr>
        <w:pStyle w:val="Heading1"/>
      </w:pPr>
      <w:r>
        <w:t>11. Venezuela: reglas de negocio que deben validarse</w:t>
      </w:r>
    </w:p>
    <w:p>
      <w:r>
        <w:rPr>
          <w:b/>
        </w:rPr>
        <w:t>Moneda:</w:t>
      </w:r>
      <w:r>
        <w:t xml:space="preserve"> USD y Bs con tasas configurables y campos de vigencia, origen, responsable. Se puede admitir carga manual de la tasa BCV autorizada y luego automatización de fuente permitida. Registrar la tasa realmente aplicada a la venta, moneda base de precios, reglas de redondeo y cambio devuelto. Decidir cómo se exhiben precios y cómo se convierten pagos mixtos.</w:t>
      </w:r>
    </w:p>
    <w:p>
      <w:r>
        <w:rPr>
          <w:b/>
        </w:rPr>
        <w:t>IVA/fiscal:</w:t>
      </w:r>
      <w:r>
        <w:t xml:space="preserve"> impuestos, exenciones, recargos y tipos de comprobante deben ser parametrizables. El 16 % que aparecía en la captura NO constituye una regla fija universal. El software no debe prometer «factura fiscal» sin estudiar normas venezolanas vigentes, SENIAT, impresoras autorizadas y actividad comercial; validación legal/contable y pruebas de hardware son un gate de salida, no una nota opcional.</w:t>
      </w:r>
    </w:p>
    <w:p>
      <w:r>
        <w:rPr>
          <w:b/>
        </w:rPr>
        <w:t>Fiados:</w:t>
      </w:r>
      <w:r>
        <w:t xml:space="preserve"> los límites y autorizaciones deben poder definirse por negocio. No permitir editar o borrar abonos históricamente; corregir por contrapartida. </w:t>
      </w:r>
      <w:r>
        <w:rPr>
          <w:b/>
        </w:rPr>
        <w:t>Inventario por peso/unidades:</w:t>
      </w:r>
      <w:r>
        <w:t xml:space="preserve"> soportar cantidades decimal con precisión definida por unidad, etiquetas y lectores compatibles; revisar integración balanzas antes de comercializarla.</w:t>
      </w:r>
    </w:p>
    <w:p>
      <w:pPr>
        <w:pStyle w:val="Heading1"/>
      </w:pPr>
      <w:r>
        <w:t>12. Dispositivos e integración Windows</w:t>
      </w:r>
    </w:p>
    <w:p>
      <w:r>
        <w:t>Escáner HID como teclado y foco gestionado. Impresoras térmicas por adaptador (ESC/POS según modelo) y cola con reimpresión controlada. Gaveta activada a través de impresora cuando sea posible. Periféricos fiscales, balanzas y lectores especializados se modelan como adaptadores separados y se prueban con modelos reales antes de prometer compatibilidad. Los dispositivos de una caja pertenecen a esa caja: no al servicio central por defecto.</w:t>
      </w:r>
    </w:p>
    <w:p>
      <w:r>
        <w:t>No asumir compatibilidad de todas las impresoras. Mantener tabla de modelos, drivers, errores y versiones compatibles. Documentar test de corte de energía durante impresión y repetición de ticket.</w:t>
      </w:r>
    </w:p>
    <w:p>
      <w:pPr>
        <w:pStyle w:val="Heading1"/>
      </w:pPr>
      <w:r>
        <w:t>13. Estrategia de desarrollo TDD, pruebas y mutación</w:t>
      </w:r>
    </w:p>
    <w:p>
      <w:r>
        <w:rPr>
          <w:b/>
        </w:rPr>
        <w:t>TDD real, historia por historia:</w:t>
      </w:r>
    </w:p>
    <w:p>
      <w:pPr>
        <w:spacing w:after="60"/>
        <w:ind w:left="360" w:hanging="245"/>
      </w:pPr>
      <w:r>
        <w:t xml:space="preserve">1. </w:t>
      </w:r>
      <w:r>
        <w:rPr>
          <w:b/>
        </w:rPr>
        <w:t>RED</w:t>
      </w:r>
      <w:r>
        <w:t xml:space="preserve"> — escribir caso y test antes del comportamiento; ejecutarlo y guardar evidencia de fallo significativo. Se admite crear contrato mínimo de compilación para expresar una prueba roja real.</w:t>
      </w:r>
    </w:p>
    <w:p>
      <w:pPr>
        <w:spacing w:after="60"/>
        <w:ind w:left="360" w:hanging="245"/>
      </w:pPr>
      <w:r>
        <w:t xml:space="preserve">2. </w:t>
      </w:r>
      <w:r>
        <w:rPr>
          <w:b/>
        </w:rPr>
        <w:t>GREEN</w:t>
      </w:r>
      <w:r>
        <w:t xml:space="preserve"> — escribir el código mínimo que haga pasar el test sin agregar funcionalidades no requeridas.</w:t>
      </w:r>
    </w:p>
    <w:p>
      <w:pPr>
        <w:spacing w:after="60"/>
        <w:ind w:left="360" w:hanging="245"/>
      </w:pPr>
      <w:r>
        <w:t xml:space="preserve">3. </w:t>
      </w:r>
      <w:r>
        <w:rPr>
          <w:b/>
        </w:rPr>
        <w:t>REFACTOR</w:t>
      </w:r>
      <w:r>
        <w:t xml:space="preserve"> — limpiar duplicación/arquitectura; volver a ejecutar todas las pruebas relevantes.</w:t>
      </w:r>
    </w:p>
    <w:p>
      <w:pPr>
        <w:spacing w:after="60"/>
        <w:ind w:left="360" w:hanging="245"/>
      </w:pPr>
      <w:r>
        <w:t xml:space="preserve">4. </w:t>
      </w:r>
      <w:r>
        <w:rPr>
          <w:b/>
        </w:rPr>
        <w:t>MUTATION</w:t>
      </w:r>
      <w:r>
        <w:t xml:space="preserve"> — con código existente y tests verdes, ejecutar Stryker.NET; reparar asserts débiles y mutantes supervivientes relevantes. Repetir.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cantSplit/>
          <w:tblHeader w:val="true"/>
        </w:trPr>
        <w:tc>
          <w:tcPr>
            <w:tcW w:type="dxa" w:w="3235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235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Herramienta/entorno</w:t>
            </w:r>
          </w:p>
        </w:tc>
        <w:tc>
          <w:tcPr>
            <w:tcW w:type="dxa" w:w="3235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Ejemplos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Unidad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xUnit y dobles limitados a fronteras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Money, TaxRule, StockPolicy, autorización, fiados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Integración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xUnit + Testcontainers.PostgreSql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transacciones, migraciones, concurrencia, queries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Contrato/API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WebApplicationFactory/HTTP real según caso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permisos, errores, idempotencia, versionado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Arquitectura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tests de referencias/capas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Domain independiente, WPF sin acceso DB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UI / E2E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automatización WPF razonable + pruebas manuales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escanear, cobrar, recuperar venta, navegación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Mutación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Stryker.NET por módulos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operadores, condiciones, reglas de descuento</w:t>
            </w:r>
          </w:p>
        </w:tc>
      </w:tr>
      <w:tr>
        <w:trPr>
          <w:cantSplit/>
        </w:trPr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Operación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instalación, respaldo/restauración, crash tests</w:t>
            </w:r>
          </w:p>
        </w:tc>
        <w:tc>
          <w:tcPr>
            <w:tcW w:type="dxa" w:w="3235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arranque Windows, recuperación, caída red</w:t>
            </w:r>
          </w:p>
        </w:tc>
      </w:tr>
      <w:tr>
        <w:trPr>
          <w:cantSplit/>
        </w:trPr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Rendimiento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escenario medido en hardware documentado</w:t>
            </w:r>
          </w:p>
        </w:tc>
        <w:tc>
          <w:tcPr>
            <w:tcW w:type="dxa" w:w="3235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1/3/5 cajas, stock grande, impresiones</w:t>
            </w:r>
          </w:p>
        </w:tc>
      </w:tr>
    </w:tbl>
    <w:p>
      <w:pPr>
        <w:spacing w:after="20"/>
      </w:pPr>
    </w:p>
    <w:p>
      <w:r>
        <w:rPr>
          <w:b/>
        </w:rPr>
        <w:t>Gates iniciales propuestos:</w:t>
      </w:r>
      <w:r>
        <w:t xml:space="preserve"> todas las pruebas relevantes verdes y sin errores estáticos graves en PR; pruebas de integración para cambios de persistencia; cobertura orientativa de líneas del dominio crítico ≥ 90 % y de ramas para reglas monetarias/inventario ≥ 85 %; score de mutación por reglas críticas objetivo ≥ 80 % una vez existan implementaciones y batería de tests madura. Documentar mutantes equivalentes y exenciones. La cobertura por sí sola no garantiza buen test. No imponer arbitrariamente 100 % global ni mutación completa en cada commit; mutación focalizada en cambios, total nocturna o pre-release.</w:t>
      </w:r>
    </w:p>
    <w:p>
      <w:r>
        <w:rPr>
          <w:b/>
        </w:rPr>
        <w:t>Pruebas de aceptación prioritarias:</w:t>
      </w:r>
      <w:r>
        <w:t xml:space="preserve"> dos cajas venden última unidad; reintento por timeout no duplica venta; cambio de tasa no altera históricos; pago mixto y cambio exactos; PIN no autoriza otra operación; una impresora desconectada no revierte venta confirmada; reverso restablece stock; abono parcial cuadra deuda; cierre caja señala diferencia; backup restaurado reproduce saldos; terminal sin emparejar no vende; caja cerrada no confirma venta.</w:t>
      </w:r>
    </w:p>
    <w:p>
      <w:r>
        <w:rPr>
          <w:b/>
        </w:rPr>
        <w:t>Política de evidencias:</w:t>
      </w:r>
      <w:r>
        <w:t xml:space="preserve"> el agente de IA nunca debe afirmar «tests OK» sin mostrar comando, fecha/entorno, resultado y alcance. Si no puede ejecutar UI WPF o Docker, debe marcar «no ejecutado» y proporcionar procedimiento de validación humana.</w:t>
      </w:r>
    </w:p>
    <w:p>
      <w:pPr>
        <w:pStyle w:val="Heading1"/>
      </w:pPr>
      <w:r>
        <w:t>14. CI/CD y puertas de integración</w:t>
      </w:r>
    </w:p>
    <w:p>
      <w:r>
        <w:t>Repositorio Git con rama principal protegida y PR. Validación por pull request: formateo y análisis, build Windows de WPF, unidad, arquitectura, integración PostgreSQL, escaneo básico de dependencias; artefactos de informes. Mutación focalizada en lógica modificada y campaña completa nocturna / antes de versión. Firma de instalador y publicación por canal controlado tras revisión. No subir secretos, respaldos de clientes o bases de producción al repositorio.</w:t>
      </w:r>
    </w:p>
    <w:p>
      <w:r>
        <w:t>Versionar API, migraciones y contratos. El actualizador requiere backup previo y plan de rollback con compatibilidad de esquema; jamás revertir automáticamente una migración destructiva sin recuperación verificada. El instalador debe registrar servicio, restringir puertos y crear cuenta técnica mínima.</w:t>
      </w:r>
    </w:p>
    <w:p>
      <w:pPr>
        <w:pStyle w:val="Heading1"/>
      </w:pPr>
      <w:r>
        <w:t>15. Seguridad, resiliencia y observabilidad</w:t>
      </w:r>
    </w:p>
    <w:p>
      <w:r>
        <w:t>Credenciales/PIN con hash de derivación seguro y salt, bloqueo gradual; autorización en API (no solo ocultar botones). Cifrar tránsito LAN con TLS o canal equivalente, identidad de terminal y emparejamiento. Restringir PostgreSQL al proceso servidor (no compartir credenciales con cajas), usar firewall y cuenta de servicio mínima. Secretos protegidos mediante capacidades Windows; revisar expiración/renovación de certificados.</w:t>
      </w:r>
    </w:p>
    <w:p>
      <w:r>
        <w:t>Backups automáticos verificables con retención, cifrado según sensibilidad y copia externa opcional; ensayar restauración periódica en entorno controlado. Logs estructurados, healthchecks de aplicación/DB, métricas básicas y pantalla de diagnóstico para soporte; datos personales minimizados. Mantener registro de cambios de esquemas e incompatibilidades.</w:t>
      </w:r>
    </w:p>
    <w:p>
      <w:pPr>
        <w:pStyle w:val="Heading1"/>
      </w:pPr>
      <w:r>
        <w:t>16. Riesgos, límites y decisiones pendientes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cantSplit/>
          <w:tblHeader w:val="true"/>
        </w:trPr>
        <w:tc>
          <w:tcPr>
            <w:tcW w:type="dxa" w:w="4853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Riesgo / tema</w:t>
            </w:r>
          </w:p>
        </w:tc>
        <w:tc>
          <w:tcPr>
            <w:tcW w:type="dxa" w:w="4853"/>
            <w:vAlign w:val="center"/>
            <w:shd w:fill="176A77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Decisión actual / pendiente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Caída del servidor o LAN multicaja</w:t>
            </w:r>
          </w:p>
        </w:tc>
        <w:tc>
          <w:tcPr>
            <w:tcW w:type="dxa" w:w="4853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V1 bloquea confirmación remota; contingencia posterior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Dependencia de PostgreSQL en PC mínima</w:t>
            </w:r>
          </w:p>
        </w:tc>
        <w:tc>
          <w:tcPr>
            <w:tcW w:type="dxa" w:w="4853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Benchmark e instalador; no sustituir DB sin ADR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Normativa fiscal venezolana</w:t>
            </w:r>
          </w:p>
        </w:tc>
        <w:tc>
          <w:tcPr>
            <w:tcW w:type="dxa" w:w="4853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Revisión por asesor y fabricantes antes de venta comercial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Tasa BCV / tipo de cambio</w:t>
            </w:r>
          </w:p>
        </w:tc>
        <w:tc>
          <w:tcPr>
            <w:tcW w:type="dxa" w:w="4853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Fuente, vigencia y regla de uso validadas con negocio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Dispositivos heterogéneos</w:t>
            </w:r>
          </w:p>
        </w:tc>
        <w:tc>
          <w:tcPr>
            <w:tcW w:type="dxa" w:w="4853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Lista certificada de impresoras/escáneres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Stock negativo</w:t>
            </w:r>
          </w:p>
        </w:tc>
        <w:tc>
          <w:tcPr>
            <w:tcW w:type="dxa" w:w="4853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Deshabilitado inicialmente; política configurable auditada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Licencia offline</w:t>
            </w:r>
          </w:p>
        </w:tc>
        <w:tc>
          <w:tcPr>
            <w:tcW w:type="dxa" w:w="4853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Política comercial, grace period, recuperación y soporte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Fiados y datos sensibles</w:t>
            </w:r>
          </w:p>
        </w:tc>
        <w:tc>
          <w:tcPr>
            <w:tcW w:type="dxa" w:w="4853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Política de límites, permisos y retención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Módulos premium</w:t>
            </w:r>
          </w:p>
        </w:tc>
        <w:tc>
          <w:tcPr>
            <w:tcW w:type="dxa" w:w="4853"/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Derechos de licencia desde inicio, funciones después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Versionado/migración</w:t>
            </w:r>
          </w:p>
        </w:tc>
        <w:tc>
          <w:tcPr>
            <w:tcW w:type="dxa" w:w="4853"/>
            <w:vAlign w:val="center"/>
            <w:shd w:fill="F1F5F6"/>
          </w:tcPr>
          <w:p>
            <w:pPr>
              <w:spacing w:after="0" w:line="259" w:lineRule="auto"/>
            </w:pPr>
            <w:r>
              <w:rPr>
                <w:sz w:val="16"/>
              </w:rPr>
              <w:t>Estrategia backup + restore probada</w:t>
            </w:r>
          </w:p>
        </w:tc>
      </w:tr>
    </w:tbl>
    <w:p>
      <w:pPr>
        <w:spacing w:after="20"/>
      </w:pPr>
    </w:p>
    <w:p>
      <w:pPr>
        <w:pStyle w:val="Heading1"/>
      </w:pPr>
      <w:r>
        <w:t>17. Hoja de ruta de implementación</w:t>
      </w:r>
    </w:p>
    <w:p>
      <w:r>
        <w:rPr>
          <w:b/>
        </w:rPr>
        <w:t>Hito 0. Diseño verificable:</w:t>
      </w:r>
      <w:r>
        <w:t xml:space="preserve"> ADR-001, alcance y glosario, historias Given/When/Then, permisos, estructura de solución, decisiones abiertas, DB conceptual, plantillas de pruebas/CI. Gate: aprobar arquitectura y contratos sin funcionalidad prematura.</w:t>
      </w:r>
    </w:p>
    <w:p>
      <w:r>
        <w:rPr>
          <w:b/>
        </w:rPr>
        <w:t>Hito 1. Motor de dominio por TDD:</w:t>
      </w:r>
      <w:r>
        <w:t xml:space="preserve"> dinero, tasa, producto, stock, descuentos, pagos, fiados, permisos. Gate: pruebas RED→GREEN→REFACTOR, mutación crítica, reglas documentadas.</w:t>
      </w:r>
    </w:p>
    <w:p>
      <w:r>
        <w:rPr>
          <w:b/>
        </w:rPr>
        <w:t>Hito 2. Persistencia y servicio:</w:t>
      </w:r>
      <w:r>
        <w:t xml:space="preserve"> PostgreSQL real, EF Core, migraciones, API, idempotencia, transacciones, autenticación, observabilidad. Gate: tests de integración/concurrencia y datos consistentes.</w:t>
      </w:r>
    </w:p>
    <w:p>
      <w:r>
        <w:rPr>
          <w:b/>
        </w:rPr>
        <w:t>Hito 3. POS visual:</w:t>
      </w:r>
      <w:r>
        <w:t xml:space="preserve"> WPF MVVM, pantalla principal, teclado/HID, carrito, cobro, mensajes, impresión de prueba. Gate: pruebas con cajero y periféricos reales.</w:t>
      </w:r>
    </w:p>
    <w:p>
      <w:r>
        <w:rPr>
          <w:b/>
        </w:rPr>
        <w:t>Hito 4. Operación completa:</w:t>
      </w:r>
      <w:r>
        <w:t xml:space="preserve"> caja, inventario, clientes/fiados, tasas, informes base, PIN, auditoría. Gate: flujos de punta a punta sin inconsistencias.</w:t>
      </w:r>
    </w:p>
    <w:p>
      <w:r>
        <w:rPr>
          <w:b/>
        </w:rPr>
        <w:t>Hito 5. Instalación local y multicaja:</w:t>
      </w:r>
      <w:r>
        <w:t xml:space="preserve"> tres perfiles, emparejamiento, red, backup/restore, cortes de LAN/energía, soporte. Gate: piloto con 1 y 3 cajas y checklist de recuperación.</w:t>
      </w:r>
    </w:p>
    <w:p>
      <w:r>
        <w:rPr>
          <w:b/>
        </w:rPr>
        <w:t>Hito 6. Lanzamiento controlado:</w:t>
      </w:r>
      <w:r>
        <w:t xml:space="preserve"> licencias offline, hardening, actualización/firma, cumplimiento fiscal evaluado, capacitación y piloto comercial. Gate: release con incidencias críticas cerradas y soporte/documentación.</w:t>
      </w:r>
    </w:p>
    <w:p>
      <w:pPr>
        <w:pStyle w:val="Heading1"/>
      </w:pPr>
      <w:r>
        <w:t>18. Definición de terminado (Definition of Done)</w:t>
      </w:r>
    </w:p>
    <w:p>
      <w:r>
        <w:t>Una funcionalidad no está «terminada» si carece de: aceptación escrita; pruebas observadas fallar primero; implementación mínima; suite de regresión verde; integración con PostgreSQL real cuando aplica; mutantes críticos revisados y umbral acordado satisfecho cuando corresponde; autorización/auditoría evaluadas; migraciones verificadas; UX teclado validada; manejo explícito de error/corte; documentación y evidencia real de comandos/resultados.</w:t>
      </w:r>
    </w:p>
    <w:p>
      <w:r>
        <w:t xml:space="preserve">Las pruebas TDD unitarias y de mutación son fundamentales, pero </w:t>
      </w:r>
      <w:r>
        <w:rPr>
          <w:b/>
        </w:rPr>
        <w:t>no garantizan por sí solas exactitud fiscal, seguridad de instalación ni compatibilidad de periféricos</w:t>
      </w:r>
      <w:r>
        <w:t>: esas áreas tienen gates independientes.</w:t>
      </w:r>
    </w:p>
    <w:p>
      <w:pPr>
        <w:pStyle w:val="Heading1"/>
      </w:pPr>
      <w:r>
        <w:t>19. Fuentes técnicas consultadas</w:t>
      </w:r>
    </w:p>
    <w:p>
      <w:pPr>
        <w:pStyle w:val="ListBullet"/>
        <w:spacing w:after="50"/>
        <w:ind w:left="331" w:hanging="144"/>
      </w:pPr>
      <w:r>
        <w:t>Microsoft, ciclo de vida .NET: https://learn.microsoft.com/en-us/dotnet/core/releases-and-support</w:t>
      </w:r>
    </w:p>
    <w:p>
      <w:pPr>
        <w:pStyle w:val="ListBullet"/>
        <w:spacing w:after="50"/>
        <w:ind w:left="331" w:hanging="144"/>
      </w:pPr>
      <w:r>
        <w:t>Microsoft, descripción WPF: https://learn.microsoft.com/en-us/dotnet/desktop/wpf/overview/</w:t>
      </w:r>
    </w:p>
    <w:p>
      <w:pPr>
        <w:pStyle w:val="ListBullet"/>
        <w:spacing w:after="50"/>
        <w:ind w:left="331" w:hanging="144"/>
      </w:pPr>
      <w:r>
        <w:t>Microsoft, ASP.NET Core como Windows Service: https://learn.microsoft.com/en-us/aspnet/core/host-and-deploy/windows-service?view=aspnetcore-10.0</w:t>
      </w:r>
    </w:p>
    <w:p>
      <w:pPr>
        <w:pStyle w:val="ListBullet"/>
        <w:spacing w:after="50"/>
        <w:ind w:left="331" w:hanging="144"/>
      </w:pPr>
      <w:r>
        <w:t>Microsoft, concurrencia en EF Core: https://learn.microsoft.com/en-us/ef/core/saving/concurrency</w:t>
      </w:r>
    </w:p>
    <w:p>
      <w:pPr>
        <w:pStyle w:val="ListBullet"/>
        <w:spacing w:after="50"/>
        <w:ind w:left="331" w:hanging="144"/>
      </w:pPr>
      <w:r>
        <w:t>Npgsql, EF Core provider: https://www.npgsql.org/efcore/</w:t>
      </w:r>
    </w:p>
    <w:p>
      <w:pPr>
        <w:pStyle w:val="ListBullet"/>
        <w:spacing w:after="50"/>
        <w:ind w:left="331" w:hanging="144"/>
      </w:pPr>
      <w:r>
        <w:t>Testcontainers .NET PostgreSQL: https://dotnet.testcontainers.org/modules/postgres/</w:t>
      </w:r>
    </w:p>
    <w:p>
      <w:pPr>
        <w:pStyle w:val="ListBullet"/>
        <w:spacing w:after="50"/>
        <w:ind w:left="331" w:hanging="144"/>
      </w:pPr>
      <w:r>
        <w:t>Stryker.NET y configuración: https://github.com/stryker-mutator/stryker-net/blob/master/docs/configuration.md</w:t>
      </w:r>
    </w:p>
    <w:p>
      <w:r>
        <w:rPr>
          <w:b/>
        </w:rPr>
        <w:t>Nota:</w:t>
      </w:r>
      <w:r>
        <w:t xml:space="preserve"> el documento es de arquitectura/producto, no una certificación fiscal o validación normativa. Los requisitos legales y comerciales deben contrastarse con expertos locales antes de vender la solución.</w:t>
      </w:r>
    </w:p>
    <w:p>
      <w:r>
        <w:br w:type="page"/>
      </w:r>
    </w:p>
    <w:p>
      <w:pPr>
        <w:pStyle w:val="Heading1"/>
      </w:pPr>
      <w:r>
        <w:t>ANEXO A. PROMPT MAESTRO COMPLETO PARA IA DESARROLLADORA</w:t>
      </w:r>
    </w:p>
    <w:p>
      <w:r>
        <w:t>El texto del anexo se entrega también en un archivo Markdown independiente, listo para copiar o incorporar como instrucciones de un agente de desarrollo.</w:t>
      </w:r>
    </w:p>
    <w:p>
      <w:pPr>
        <w:pStyle w:val="Heading1"/>
      </w:pPr>
      <w:r>
        <w:t>PROMPT MAESTRO — POS DE ESCRITORIO PARA VENEZUELA</w:t>
      </w:r>
    </w:p>
    <w:p>
      <w:pPr>
        <w:pStyle w:val="Heading2"/>
      </w:pPr>
      <w:r>
        <w:t>Rol y modo de trabajo</w:t>
      </w:r>
    </w:p>
    <w:p>
      <w:r>
        <w:t>Actúa como arquitecto de software senior de .NET, líder técnico de WPF, especialista en PostgreSQL, seguridad y calidad de software. Tu misión es construir conmigo, de forma incremental y verificable, un sistema de punto de venta (POS) comercial de escritorio para Windows, diseñado para bodegas, abastos, minimarkets y comercios venezolanos. Debe ser extremadamente fácil de operar, rápido con teclado y escáner y funcionar sin internet para operaciones locales.</w:t>
      </w:r>
    </w:p>
    <w:p>
      <w:r>
        <w:t>NO generes toda la aplicación de una sola vez. Empieza revisando esta especificación, identifica decisiones abiertas, crea un plan por hitos y pide aprobación para comenzar el Hito 0. Entrega cada hito con pruebas, evidencias y documentación. No inventes ejecuciones de tests, resultados ni integraciones. Si el entorno carece de .NET, Windows, PostgreSQL, Docker o dispositivos, informa qué verificaste realmente y qué queda pendiente.</w:t>
      </w:r>
    </w:p>
    <w:p>
      <w:pPr>
        <w:pStyle w:val="Heading2"/>
      </w:pPr>
      <w:r>
        <w:t>Arquitectura obligatoria</w:t>
      </w:r>
    </w:p>
    <w:p>
      <w:pPr>
        <w:pStyle w:val="ListBullet"/>
        <w:spacing w:after="50"/>
        <w:ind w:left="331" w:hanging="144"/>
      </w:pPr>
      <w:r>
        <w:t>Plataforma: C# moderno sobre .NET 10 LTS y WPF/XAML para Windows; patrón MVVM y composición por inyección de dependencias.</w:t>
      </w:r>
    </w:p>
    <w:p>
      <w:pPr>
        <w:pStyle w:val="ListBullet"/>
        <w:spacing w:after="50"/>
        <w:ind w:left="331" w:hanging="144"/>
      </w:pPr>
      <w:r>
        <w:t>Un solo modelo de ejecución en producción: WPF es cliente de un servicio de aplicación .NET (ASP.NET Core/Windows Service). En PC única, WPF consume el servicio por loopback; en multicaja, varias WPF consumen el servicio central por LAN. No desarrolles dos motores de negocio.</w:t>
      </w:r>
    </w:p>
    <w:p>
      <w:pPr>
        <w:pStyle w:val="ListBullet"/>
        <w:spacing w:after="50"/>
        <w:ind w:left="331" w:hanging="144"/>
      </w:pPr>
      <w:r>
        <w:t>Lógica en ensamblados DLL internos: Domain, Application, módulos e Infrastructure; la DLL es empaquetado/reutilización y NO sustituye por sí misma comunicación remota.</w:t>
      </w:r>
    </w:p>
    <w:p>
      <w:pPr>
        <w:pStyle w:val="ListBullet"/>
        <w:spacing w:after="50"/>
        <w:ind w:left="331" w:hanging="144"/>
      </w:pPr>
      <w:r>
        <w:t>Base de datos PostgreSQL tanto en PC única como en multicaja. Usar EF Core + Npgsql; SQL explícito cuando sea técnicamente necesario y justificado por benchmarks/pruebas.</w:t>
      </w:r>
    </w:p>
    <w:p>
      <w:pPr>
        <w:pStyle w:val="ListBullet"/>
        <w:spacing w:after="50"/>
        <w:ind w:left="331" w:hanging="144"/>
      </w:pPr>
      <w:r>
        <w:t>Arquitectura: monolito modular, no microservicios, no CRUD genérico de todo, no acceso directo a tablas desde WPF o terminales de caja. Mantener límites de módulos y contratos públicos.</w:t>
      </w:r>
    </w:p>
    <w:p>
      <w:pPr>
        <w:pStyle w:val="ListBullet"/>
        <w:spacing w:after="50"/>
        <w:ind w:left="331" w:hanging="144"/>
      </w:pPr>
      <w:r>
        <w:t>Una instalación pertenece a un comercio; preparar el diseño para cajas y sucursales futuras sin introducir desde ahora multitenancy SaaS ni sincronización de bases independientes.</w:t>
      </w:r>
    </w:p>
    <w:p>
      <w:pPr>
        <w:pStyle w:val="ListBullet"/>
        <w:spacing w:after="50"/>
        <w:ind w:left="331" w:hanging="144"/>
      </w:pPr>
      <w:r>
        <w:t>Instalador con perfiles: (1) Servidor + POS; (2) Solo POS; (3) Solo servidor. Una caja cliente descubre/selecciona el servidor y se empareja de manera segura.</w:t>
      </w:r>
    </w:p>
    <w:p>
      <w:pPr>
        <w:pStyle w:val="ListBullet"/>
        <w:spacing w:after="50"/>
        <w:ind w:left="331" w:hanging="144"/>
      </w:pPr>
      <w:r>
        <w:t>No es una app web ni un navegador disfrazado: WPF es escritorio real. No obligar al cliente final a instalar Docker o administrar comandos.</w:t>
      </w:r>
    </w:p>
    <w:p>
      <w:pPr>
        <w:pStyle w:val="Heading2"/>
      </w:pPr>
      <w:r>
        <w:t>Principios no negociables</w:t>
      </w:r>
    </w:p>
    <w:p>
      <w:pPr>
        <w:spacing w:after="60"/>
        <w:ind w:left="360" w:hanging="245"/>
      </w:pPr>
      <w:r>
        <w:t>1. Una venta normal empieza en la pantalla POS, sin dashboard obligatorio.</w:t>
      </w:r>
    </w:p>
    <w:p>
      <w:pPr>
        <w:spacing w:after="60"/>
        <w:ind w:left="360" w:hanging="245"/>
      </w:pPr>
      <w:r>
        <w:t>2. La interfaz debe tener zona de búsqueda/escáner, carrito central, gran total visible y menú de herramientas a la derecha. Soportar uso intensivo de teclado (F1-F12 configurables), foco persistente para escaneo, impresión y mensajes claros.</w:t>
      </w:r>
    </w:p>
    <w:p>
      <w:pPr>
        <w:spacing w:after="60"/>
        <w:ind w:left="360" w:hanging="245"/>
      </w:pPr>
      <w:r>
        <w:t>3. Las acciones comunes son rápidas; cambios sensibles requieren permisos y, si aplica, autorización por PIN de supervisor vinculada a una acción puntual, con audit trail. No PIN maestro compartido.</w:t>
      </w:r>
    </w:p>
    <w:p>
      <w:pPr>
        <w:spacing w:after="60"/>
        <w:ind w:left="360" w:hanging="245"/>
      </w:pPr>
      <w:r>
        <w:t>4. Funcionamiento local independiente de internet. Pérdida de LAN/servidor no equivale a pérdida de internet: sin servidor central no se pueden confirmar ventas en las cajas cliente durante la primera versión. No simules offline multicaja sin una política completa de conciliación.</w:t>
      </w:r>
    </w:p>
    <w:p>
      <w:pPr>
        <w:spacing w:after="60"/>
        <w:ind w:left="360" w:hanging="245"/>
      </w:pPr>
      <w:r>
        <w:t>5. Importes monetarios con decimal/.NET y numeric PostgreSQL, nunca float/double para dinero. Moneda, escala, reglas de redondeo, impuestos, descuentos y tasa aplicada deben conservarse en cada documento.</w:t>
      </w:r>
    </w:p>
    <w:p>
      <w:pPr>
        <w:spacing w:after="60"/>
        <w:ind w:left="360" w:hanging="245"/>
      </w:pPr>
      <w:r>
        <w:t>6. Operaciones críticas transaccionales, idempotentes y resistentes a concurrencia. Un pago enviado dos veces por reconexión no debe crear dos ventas ni descontar dos veces stock.</w:t>
      </w:r>
    </w:p>
    <w:p>
      <w:pPr>
        <w:spacing w:after="60"/>
        <w:ind w:left="360" w:hanging="245"/>
      </w:pPr>
      <w:r>
        <w:t>7. Nadie debe depender de módulos premium para registrar ventas, consultar stock o hacer un cierre de caja.</w:t>
      </w:r>
    </w:p>
    <w:p>
      <w:pPr>
        <w:spacing w:after="60"/>
        <w:ind w:left="360" w:hanging="245"/>
      </w:pPr>
      <w:r>
        <w:t>8. No imprimir ni afirmar que un comprobante no fiscal es una factura fiscal. Fiscalización venezolana, SENIAT, impresoras fiscales y comprobantes electrónicos requieren validación normativa y contable antes de producción.</w:t>
      </w:r>
    </w:p>
    <w:p>
      <w:pPr>
        <w:pStyle w:val="Heading2"/>
      </w:pPr>
      <w:r>
        <w:t>Módulos incluidos por defecto (MVP comercial)</w:t>
      </w:r>
    </w:p>
    <w:p>
      <w:pPr>
        <w:pStyle w:val="ListBullet"/>
        <w:spacing w:after="50"/>
        <w:ind w:left="331" w:hanging="144"/>
      </w:pPr>
      <w:r>
        <w:t>POS / Ventas: búsqueda por nombre, SKU y código de barras; carrito; cambio de cantidad; descuento autorizado; suspensión/reanudación; cobro; cancelación con permiso; historial; devoluciones controladas.</w:t>
      </w:r>
    </w:p>
    <w:p>
      <w:pPr>
        <w:pStyle w:val="ListBullet"/>
        <w:spacing w:after="50"/>
        <w:ind w:left="331" w:hanging="144"/>
      </w:pPr>
      <w:r>
        <w:t>Productos / Catálogo: SKU único, códigos de barra alternos, categorías, unidades, presentación, costo, precio, impuestos parametrizables, estado activo.</w:t>
      </w:r>
    </w:p>
    <w:p>
      <w:pPr>
        <w:pStyle w:val="ListBullet"/>
        <w:spacing w:after="50"/>
        <w:ind w:left="331" w:hanging="144"/>
      </w:pPr>
      <w:r>
        <w:t>Inventario básico: stock por ubicación, recepción/entradas simples, salidas por venta, devoluciones, ajuste auditado, alertas bajo mínimo, kardex/movimientos inmutables; política de stock negativo configurada y desactivada por defecto.</w:t>
      </w:r>
    </w:p>
    <w:p>
      <w:pPr>
        <w:pStyle w:val="ListBullet"/>
        <w:spacing w:after="50"/>
        <w:ind w:left="331" w:hanging="144"/>
      </w:pPr>
      <w:r>
        <w:t>Precios, monedas y tasas: USD/Bs; tasa BCV registrada manualmente por usuario autorizado o adquirida luego de una fuente autorizada, con fecha, vigencia, origen, historial y redondeo; precios vigentes y snapshots en cada venta.</w:t>
      </w:r>
    </w:p>
    <w:p>
      <w:pPr>
        <w:pStyle w:val="ListBullet"/>
        <w:spacing w:after="50"/>
        <w:ind w:left="331" w:hanging="144"/>
      </w:pPr>
      <w:r>
        <w:t>Caja y pagos: abrir/cerrar turno, efectivo USD/Bs, pago móvil, transferencia, débito y pagos mixtos; arqueo, diferencias, ingresos/egresos autorizados; validación de referencias para evitar duplicados según políticas.</w:t>
      </w:r>
    </w:p>
    <w:p>
      <w:pPr>
        <w:pStyle w:val="ListBullet"/>
        <w:spacing w:after="50"/>
        <w:ind w:left="331" w:hanging="144"/>
      </w:pPr>
      <w:r>
        <w:t>Clientes y fiados básicos: clientes opcionales en ventas normales, saldos, fiados autorizados, abonos y límites básicos, historial de deuda.</w:t>
      </w:r>
    </w:p>
    <w:p>
      <w:pPr>
        <w:pStyle w:val="ListBullet"/>
        <w:spacing w:after="50"/>
        <w:ind w:left="331" w:hanging="144"/>
      </w:pPr>
      <w:r>
        <w:t>Usuarios, permisos y auditoría: operador, supervisor, administrador; permisos por acción; PIN individual con hash seguro, autorización temporal acotada; eventos de auditoría.</w:t>
      </w:r>
    </w:p>
    <w:p>
      <w:pPr>
        <w:pStyle w:val="ListBullet"/>
        <w:spacing w:after="50"/>
        <w:ind w:left="331" w:hanging="144"/>
      </w:pPr>
      <w:r>
        <w:t>Reportes esenciales: ventas del día, cierres por caja/usuario, medios de pago, inventario bajo, movimientos y cuentas por cobrar; exportación simple.</w:t>
      </w:r>
    </w:p>
    <w:p>
      <w:pPr>
        <w:pStyle w:val="ListBullet"/>
        <w:spacing w:after="50"/>
        <w:ind w:left="331" w:hanging="144"/>
      </w:pPr>
      <w:r>
        <w:t>Configuración, operación y respaldo: datos del negocio, dispositivos, identidad de terminal, monitoreo de servicio, backups, recuperación probada y diagnósticos básicos.</w:t>
      </w:r>
    </w:p>
    <w:p>
      <w:pPr>
        <w:pStyle w:val="Heading2"/>
      </w:pPr>
      <w:r>
        <w:t>Módulos comerciales opcionales (NO construir durante MVP salvo contratos/entitlements)</w:t>
      </w:r>
    </w:p>
    <w:p>
      <w:r>
        <w:t>Compras avanzadas y proveedores; múltiples almacenes/sucursales; transferencias; promociones complejas; fidelización; cuentas por pagar; reportes BI avanzados; sincronización nube/respaldos remotos; integraciones de e-commerce; integración fiscal según regulación; API externa e integraciones ERP. Arquitectura comercial preparada con catálogo de funciones y derechos de licencia (entitlements), no con DLL que el cliente pueda activar simplemente copiándola. Evitar un motor dinámico de plugins en la v1.</w:t>
      </w:r>
    </w:p>
    <w:p>
      <w:pPr>
        <w:pStyle w:val="Heading2"/>
      </w:pPr>
      <w:r>
        <w:t>Modelo de datos mínimo (revisable por migraciones)</w:t>
      </w:r>
    </w:p>
    <w:p>
      <w:r>
        <w:t>Business, Terminal, User, Role, Permission, UserRole, Customer, Product, ProductBarcode, Category, Unit, StockLocation, InventoryMovement, StockBalance (proyección), PriceList/Price, ExchangeRate, TaxRule, Sale, SaleLine, SalePayment, SaleStatusHistory, CashSession, CashMovement, Receivable, ReceivablePayment, SupervisorApproval, AuditEvent, LicenseEntitlement, DeviceConfiguration, BackupJob, IdempotencyRecord.</w:t>
      </w:r>
    </w:p>
    <w:p>
      <w:r>
        <w:t>Incluir UUID (preferentemente generados por servicio), timestamps UTC y hora local al presentar, índices adecuados para códigos, llaves foráneas y restricciones. Los movimientos no se borran: reversos y correcciones explícitas. Separar venta registrada y estado de impresión. Una migración destructiva requiere respaldo, ventana de mantenimiento y plan de recuperación.</w:t>
      </w:r>
    </w:p>
    <w:p>
      <w:pPr>
        <w:pStyle w:val="Heading2"/>
      </w:pPr>
      <w:r>
        <w:t>Flujo crítico de confirmación de venta</w:t>
      </w:r>
    </w:p>
    <w:p>
      <w:r>
        <w:t>Recibir comando con IdempotencyKey + TerminalId + ActorId. Verificar sesión, permiso, caja abierta, productos activos, descuentos, tasa y reglas de stock. Crear snapshot de precios/impuestos/tasa, validar pagos y cambios. Dentro de transacción corta: reservar/descontar existencia atómicamente con control de concurrencia; registrar Sale/SaleLines/Payments/InventoryMovements y evento de auditoría. Confirmar y devolver identificador inmutable. Reintentos con misma clave y mismo payload devuelven mismo resultado; misma clave con contenido diferente se rechaza. Impresión sucede después del commit y puede reintentarse sin repetir venta. En error de pago externo con resultado incierto, reconciliar antes de registrar cobro definitivo. No retener transacciones abiertas mientras el cajero digita o espera hardware.</w:t>
      </w:r>
    </w:p>
    <w:p>
      <w:pPr>
        <w:pStyle w:val="Heading2"/>
      </w:pPr>
      <w:r>
        <w:t>Estrategia TDD — obligatoria en cada historia</w:t>
      </w:r>
    </w:p>
    <w:p>
      <w:r>
        <w:t>RED: especificar comportamiento en criterios de aceptación; escribir primero prueba automatizada que compile y falle por la razón esperada (o evidenciar que aún no compila al faltar interfaz mínima; crear solo el contrato mínimo para obtener rojo significativo). Registrar nombre del test y salida relevante.</w:t>
      </w:r>
    </w:p>
    <w:p>
      <w:r>
        <w:t>GREEN: implementar el código de producción más pequeño que haga pasar la prueba, sin adelantarse a funcionalidades no solicitadas.</w:t>
      </w:r>
    </w:p>
    <w:p>
      <w:r>
        <w:t>REFACTOR: mejorar diseño sin cambiar comportamiento; todas las pruebas siguen verdes.</w:t>
      </w:r>
    </w:p>
    <w:p>
      <w:r>
        <w:t>MUTATION: ejecutar Stryker.NET contra la implementación existente, analizar supervivientes, reforzar pruebas y corregir defectos. La mutación sucede DESPUÉS del primer green; nunca afirmar que se puede mutar código inexistente.</w:t>
      </w:r>
    </w:p>
    <w:p>
      <w:r>
        <w:t>Tipos de pruebas: unitarias xUnit para Domain y Application; integraciones con PostgreSQL real por Testcontainers (Docker solo en desarrollo/CI); contratos HTTP y autenticación; concurrencia e idempotencia; pruebas automatizadas de flujo WPF donde sea viable; pruebas de instalación/actualización/restauración; rendimiento medido y pruebas manuales de periféricos. Cobertura no reemplaza calidad de assertions.</w:t>
      </w:r>
    </w:p>
    <w:p>
      <w:r>
        <w:t>Puertas de calidad sugeridas: PR debe compilar, análisis estático, tests unitarios, pruebas de integración relevantes y pruebas arquitectónicas. Cobertura orientativa mínima 90 % líneas del núcleo de dominio crítico y 85 % ramas de reglas monetarias/inventario, revisable según casos reales. Stryker.NET: comenzar con objetivos por módulo, inicialmente &gt;=80 % mutation score en reglas críticas incluidas; registrar mutantes equivalentes/no cubiertos, y aumentar umbrales gradualmente. No exigir 100 % global ni ejecutar mutación total en cada pulsación; ejecutar mutación focalizada por cambios y campaña completa nocturna o antes de release. Ningún cambio crítico entra a release con tests rojos, migraciones no validadas, rollback imposible o mutaciones críticas sin evaluar.</w:t>
      </w:r>
    </w:p>
    <w:p>
      <w:r>
        <w:t>Ejemplos de pruebas obligatorias antes de funciones: (a) dos cajas compiten por última unidad, solamente una confirma si se prohíbe stock negativo; (b) doble clic/reintento no duplica venta; (c) pago mixto cuadra exactamente y respeta redondeos; (d) cambio de tasa conserva la aplicada a ventas históricas; (e) cajero sin permiso no cambia precio y una aprobación de supervisor sirve para una operación específica; (f) fallo de impresora no revierte venta confirmada ni genera duplicado; (g) retorno ajusta stock y registra reverso; (h) fiados/abonos nunca dejan saldos inconsistentes; (i) cierre de caja reporta diferencia por medio; (j) backup restaurado coincide con saldos comprobados.</w:t>
      </w:r>
    </w:p>
    <w:p>
      <w:pPr>
        <w:pStyle w:val="Heading2"/>
      </w:pPr>
      <w:r>
        <w:t>Seguridad y operación</w:t>
      </w:r>
    </w:p>
    <w:p>
      <w:r>
        <w:t>Argon2id o PBKDF2 con parámetros vigentes para PIN/contraseñas, salt individual, política de intentos fallidos y bloqueo temporal; jamás texto plano. Tokens de sesión con expiración y permisos comprobados en servicio. TLS para LAN o canal autenticado seguro, emparejamiento de terminales, secretos protegidos en Windows, servicio con privilegios mínimos, firewall limitado a segmento autorizado; conexiones a PostgreSQL solo desde servidor de aplicación. Logs estructurados sin secretos ni datos financieros innecesarios. Auditoría de autorizaciones, cambios de tasa, anulación, ajuste, cambios de precio y restauración. Backups automatizados y restauración periódicamente ensayada. Instalación/desinstalación/actualización firmada y segura con plan de rollback.</w:t>
      </w:r>
    </w:p>
    <w:p>
      <w:pPr>
        <w:pStyle w:val="Heading2"/>
      </w:pPr>
      <w:r>
        <w:t>Experiencia visual</w:t>
      </w:r>
    </w:p>
    <w:p>
      <w:r>
        <w:t>Interfaz WPF moderna, legible 1366x768 en adelante, adaptable a escala de Windows, contraste adecuado y accesibilidad. Abrir directo en POS. Panel derecho para productos, clientes, fiados, inventario, tasa, caja, historial, reportes y ajustes. Acción frecuente en panel/modal sobre la misma vista; no navegar múltiples pantallas para cambiar tasa autorizada. Total grande y separado por moneda, pagos mixtos muy claros, indicador de caja y conectividad (servidor LAN versus internet). Código de barras agrega producto sin obligar a usar ratón. Confirmaciones solamente para operaciones riesgosas. No usar publicidad en pantalla de ventas.</w:t>
      </w:r>
    </w:p>
    <w:p>
      <w:pPr>
        <w:pStyle w:val="Heading2"/>
      </w:pPr>
      <w:r>
        <w:t>Estructura sugerida de solución</w:t>
      </w:r>
    </w:p>
    <w:p>
      <w:r>
        <w:t>src/Pos.Desktop (WPF MVVM); src/Pos.Server (ASP.NET Core / Windows Service); src/Pos.Shared.Contracts (DTO/API versionada); src/Pos.BuildingBlocks (abstracciones compartidas muy pequeñas); src/Modules/{Catalog,Inventory,Sales,Pricing,Cash,Customers,Identity,Reporting,Licensing,Operations}/{Domain,Application,Infrastructure}; tests/Pos.Domain.Tests; tests/Pos.Application.Tests; tests/Pos.Integration.Tests; tests/Pos.Architecture.Tests; tests/Pos.EndToEnd.Tests; installer/; docs/adr/; docs/specs/; docs/runbooks/; build/.</w:t>
      </w:r>
    </w:p>
    <w:p>
      <w:r>
        <w:t>Respetar referencias: Domain no conoce EF, WPF, HTTP, Infrastructure ni licencias; Application usa puertos; Infrastructure implementa puertos; WPF consume únicamente clientes de contrato; API es límite de autorización y orquestación; integración entre módulos mediante interfaces/eventos internos apropiados, no consultas directas cruzadas sin contrato. Evitar sobreabstracción prematura.</w:t>
      </w:r>
    </w:p>
    <w:p>
      <w:pPr>
        <w:pStyle w:val="Heading2"/>
      </w:pPr>
      <w:r>
        <w:t>Roadmap con gates</w:t>
      </w:r>
    </w:p>
    <w:p>
      <w:r>
        <w:t>Hito 0: ADR de arquitectura, mapa de módulos, glosario, principales historias y riesgos, matriz de permisos, contrato de API, modelo de datos inicial, pipeline CI y proyectos de test. No implementar funciones.</w:t>
      </w:r>
    </w:p>
    <w:p>
      <w:r>
        <w:t>Hito 1: motor de dominio con TDD para dinero, tasa, producto, stock, venta, pagos, permisos y fiados; mutación inicial.</w:t>
      </w:r>
    </w:p>
    <w:p>
      <w:r>
        <w:t>Hito 2: persistencia PostgreSQL, migraciones y servicio; endpoints versionados, autenticación, idempotencia, integración/concurrencia con BD real.</w:t>
      </w:r>
    </w:p>
    <w:p>
      <w:r>
        <w:t>Hito 3: WPF POS funcional con navegación, escáner teclado, carrito, cobrar, imprimir comprobante no fiscal de prueba; UX validada.</w:t>
      </w:r>
    </w:p>
    <w:p>
      <w:r>
        <w:t>Hito 4: inventario, caja, precios y tasa, clientes/fiados, reportes básicos, seguridad y auditoría terminados.</w:t>
      </w:r>
    </w:p>
    <w:p>
      <w:r>
        <w:t>Hito 5: instalar en una sola PC, multicaja LAN, pruebas de cortes de red/energía, backup/restauración, emparejamiento y periféricos.</w:t>
      </w:r>
    </w:p>
    <w:p>
      <w:r>
        <w:t>Hito 6: licenciamiento básico offline, actualizador, smoke tests de instalación, hardening, evaluación legal/fiscal, piloto en bodega real.</w:t>
      </w:r>
    </w:p>
    <w:p>
      <w:r>
        <w:t>No construir módulos premium antes de aprobar MVP salvo interfaces mínimas para entitlements.</w:t>
      </w:r>
    </w:p>
    <w:p>
      <w:pPr>
        <w:pStyle w:val="Heading2"/>
      </w:pPr>
      <w:r>
        <w:t>Tu formato de entrega para CADA hito</w:t>
      </w:r>
    </w:p>
    <w:p>
      <w:pPr>
        <w:spacing w:after="60"/>
        <w:ind w:left="360" w:hanging="245"/>
      </w:pPr>
      <w:r>
        <w:t>1. Objetivo y decisión de arquitectura que afecta el hito.</w:t>
      </w:r>
    </w:p>
    <w:p>
      <w:pPr>
        <w:spacing w:after="60"/>
        <w:ind w:left="360" w:hanging="245"/>
      </w:pPr>
      <w:r>
        <w:t>2. Historias, criterios Given/When/Then y riesgos.</w:t>
      </w:r>
    </w:p>
    <w:p>
      <w:pPr>
        <w:spacing w:after="60"/>
        <w:ind w:left="360" w:hanging="245"/>
      </w:pPr>
      <w:r>
        <w:t>3. Lista exacta de archivos a crear/modificar, diagrama o flujo si es necesario.</w:t>
      </w:r>
    </w:p>
    <w:p>
      <w:pPr>
        <w:spacing w:after="60"/>
        <w:ind w:left="360" w:hanging="245"/>
      </w:pPr>
      <w:r>
        <w:t>4. RED: tests escritos antes del código y su salida real; si no puedes ejecutarlos, indícalo expresamente.</w:t>
      </w:r>
    </w:p>
    <w:p>
      <w:pPr>
        <w:spacing w:after="60"/>
        <w:ind w:left="360" w:hanging="245"/>
      </w:pPr>
      <w:r>
        <w:t>5. GREEN: código mínimo y justificación.</w:t>
      </w:r>
    </w:p>
    <w:p>
      <w:pPr>
        <w:spacing w:after="60"/>
        <w:ind w:left="360" w:hanging="245"/>
      </w:pPr>
      <w:r>
        <w:t>6. REFACTOR: cambios sin alterar comportamiento.</w:t>
      </w:r>
    </w:p>
    <w:p>
      <w:pPr>
        <w:spacing w:after="60"/>
        <w:ind w:left="360" w:hanging="245"/>
      </w:pPr>
      <w:r>
        <w:t>7. MUTATION: herramienta/alcance, mutantes muertos/supervivientes, score real cuando sea ejecutable; no inventar cifras.</w:t>
      </w:r>
    </w:p>
    <w:p>
      <w:pPr>
        <w:spacing w:after="60"/>
        <w:ind w:left="360" w:hanging="245"/>
      </w:pPr>
      <w:r>
        <w:t>8. Pruebas integración/E2E/rendimiento cuando corresponda, resultados reproducibles y comandos.</w:t>
      </w:r>
    </w:p>
    <w:p>
      <w:pPr>
        <w:spacing w:after="60"/>
        <w:ind w:left="360" w:hanging="245"/>
      </w:pPr>
      <w:r>
        <w:t>9. Seguridad, migrations, rollback y criterios de aceptación.</w:t>
      </w:r>
    </w:p>
    <w:p>
      <w:pPr>
        <w:spacing w:after="60"/>
        <w:ind w:left="360" w:hanging="245"/>
      </w:pPr>
      <w:r>
        <w:t>10. Resumen de pendientes y pregunta explícita para autorizar el siguiente hito.</w:t>
      </w:r>
    </w:p>
    <w:p>
      <w:pPr>
        <w:pStyle w:val="Heading2"/>
      </w:pPr>
      <w:r>
        <w:t>Instrucción inicial</w:t>
      </w:r>
    </w:p>
    <w:p>
      <w:r>
        <w:t>Antes de escribir código, responde SOLO con: (a) comprensión del producto en un párrafo; (b) ADR-001 con la arquitectura y sus trade-offs; (c) estructura de solución propuesta; (d) riesgos y decisiones que deben validarse con el propietario; (e) plan concreto del Hito 0 y tests que podrán diseñarse; (f) máximo cinco preguntas verdaderamente bloqueantes. Luego espera mi aprobación. No implementes el sistema completo ni supongas cumplimiento fiscal venezolano.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8" w:right="1267" w:bottom="1037" w:left="1267" w:header="461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069"/>
        <w:sz w:val="15"/>
      </w:rPr>
      <w:t xml:space="preserve">Arquitectura + TDD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6069"/>
        <w:sz w:val="14"/>
      </w:rPr>
      <w:t>POS DE ESCRITORIO  /  ESPECIFICACIÓN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ptos" w:hAnsi="Aptos"/>
      <w:color w:val="182B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 w:line="257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97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7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182B4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7" w:lineRule="auto"/>
      <w:outlineLvl w:val="2"/>
    </w:pPr>
    <w:rPr>
      <w:rFonts w:asciiTheme="majorHAnsi" w:eastAsiaTheme="majorEastAsia" w:hAnsiTheme="majorHAnsi" w:cstheme="majorBidi" w:ascii="Aptos" w:hAnsi="Aptos"/>
      <w:b/>
      <w:bCs/>
      <w:color w:val="00697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57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B4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57" w:lineRule="auto"/>
    </w:pPr>
    <w:rPr>
      <w:rFonts w:asciiTheme="majorHAnsi" w:eastAsiaTheme="majorEastAsia" w:hAnsiTheme="majorHAnsi" w:cstheme="majorBidi" w:ascii="Aptos" w:hAnsi="Aptos"/>
      <w:b w:val="0"/>
      <w:i/>
      <w:iCs/>
      <w:color w:val="5260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ompact">
    <w:name w:val="Code Compact"/>
    <w:pPr>
      <w:spacing w:after="0" w:line="245" w:lineRule="auto"/>
    </w:pPr>
    <w:rPr>
      <w:rFonts w:ascii="Consolas" w:hAnsi="Consolas"/>
      <w:color w:val="182B41"/>
      <w:sz w:val="16"/>
    </w:rPr>
  </w:style>
  <w:style w:type="paragraph" w:customStyle="1" w:styleId="SmallNote">
    <w:name w:val="Small Note"/>
    <w:pPr>
      <w:spacing w:after="100"/>
    </w:pPr>
    <w:rPr>
      <w:rFonts w:ascii="Aptos" w:hAnsi="Aptos"/>
      <w:i/>
      <w:color w:val="52606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de escritorio para comercios venezolanos - especificación técnica, TDD y prompt maestro</dc:title>
  <dc:subject>Arquitectura C# WPF .NET PostgreSQL, módulos base, licencias y calidad</dc:subject>
  <dc:creator>Documento de proyecto</dc:creator>
  <cp:keywords>POS; WPF; C#; TDD; PostgreSQL; mutación; Venezuela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