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120"/>
        <w:ind w:firstLine="700"/>
        <w:jc w:val="center"/>
      </w:pPr>
      <w:r>
        <w:rPr>
          <w:rFonts w:ascii="Times New Roman" w:hAnsi="Times New Roman"/>
          <w:b w:val="0"/>
          <w:sz w:val="28"/>
        </w:rPr>
        <w:t>Министерство науки и высшего образования РФ</w:t>
      </w:r>
    </w:p>
    <w:p>
      <w:pPr>
        <w:spacing w:after="120"/>
        <w:ind w:firstLine="700"/>
        <w:jc w:val="center"/>
      </w:pPr>
      <w:r>
        <w:rPr>
          <w:rFonts w:ascii="Times New Roman" w:hAnsi="Times New Roman"/>
          <w:b w:val="0"/>
          <w:sz w:val="28"/>
        </w:rPr>
        <w:t>Санкт-Петербургский политехнический университет Петра Великого</w:t>
      </w:r>
    </w:p>
    <w:p>
      <w:pPr>
        <w:spacing w:after="120"/>
        <w:ind w:firstLine="700"/>
        <w:jc w:val="center"/>
      </w:pPr>
      <w:r>
        <w:rPr>
          <w:rFonts w:ascii="Times New Roman" w:hAnsi="Times New Roman"/>
          <w:b w:val="0"/>
          <w:sz w:val="28"/>
        </w:rPr>
        <w:t>Институт компьютерных наук и кибербезопасности</w:t>
      </w:r>
    </w:p>
    <w:p>
      <w:pPr>
        <w:spacing w:after="120"/>
        <w:ind w:firstLine="700"/>
        <w:jc w:val="center"/>
      </w:pPr>
      <w:r>
        <w:rPr>
          <w:rFonts w:ascii="Times New Roman" w:hAnsi="Times New Roman"/>
          <w:b w:val="0"/>
          <w:sz w:val="28"/>
        </w:rPr>
        <w:t>Высшая школа программной инженерии</w:t>
      </w:r>
    </w:p>
    <w:p>
      <w:pPr>
        <w:spacing w:after="120"/>
        <w:ind w:firstLine="700"/>
      </w:pPr>
    </w:p>
    <w:p>
      <w:pPr>
        <w:spacing w:after="120"/>
        <w:ind w:firstLine="700"/>
      </w:pPr>
    </w:p>
    <w:p>
      <w:pPr>
        <w:spacing w:after="120"/>
        <w:ind w:firstLine="700"/>
      </w:pPr>
    </w:p>
    <w:p>
      <w:pPr>
        <w:spacing w:after="120"/>
        <w:ind w:firstLine="700"/>
      </w:pPr>
    </w:p>
    <w:p>
      <w:pPr>
        <w:spacing w:after="120"/>
        <w:ind w:firstLine="700"/>
      </w:pPr>
    </w:p>
    <w:p>
      <w:pPr>
        <w:spacing w:after="120"/>
        <w:ind w:firstLine="700"/>
      </w:pPr>
    </w:p>
    <w:p>
      <w:pPr>
        <w:spacing w:after="120"/>
        <w:ind w:firstLine="700"/>
        <w:jc w:val="center"/>
      </w:pPr>
      <w:r>
        <w:rPr>
          <w:rFonts w:ascii="Times New Roman" w:hAnsi="Times New Roman"/>
          <w:b/>
          <w:sz w:val="28"/>
        </w:rPr>
        <w:t>ОТЧЁТ ПО КУРСОВОМУ ПРОЕКТУ</w:t>
      </w:r>
    </w:p>
    <w:p>
      <w:pPr>
        <w:spacing w:after="120"/>
        <w:ind w:firstLine="700"/>
        <w:jc w:val="center"/>
      </w:pPr>
      <w:r>
        <w:rPr>
          <w:rFonts w:ascii="Times New Roman" w:hAnsi="Times New Roman"/>
          <w:b w:val="0"/>
          <w:sz w:val="28"/>
        </w:rPr>
        <w:t>по дисциплине «Технологии разработки качественного программного обеспечения»</w:t>
      </w:r>
    </w:p>
    <w:p>
      <w:pPr>
        <w:spacing w:after="120"/>
        <w:ind w:firstLine="700"/>
        <w:jc w:val="center"/>
      </w:pPr>
      <w:r>
        <w:rPr>
          <w:rFonts w:ascii="Times New Roman" w:hAnsi="Times New Roman"/>
          <w:b/>
          <w:sz w:val="28"/>
        </w:rPr>
        <w:t>Интеграционное и системное тестирование приложения «Teachers Preferences»</w:t>
      </w:r>
    </w:p>
    <w:p>
      <w:pPr>
        <w:spacing w:after="120"/>
        <w:ind w:firstLine="700"/>
      </w:pPr>
    </w:p>
    <w:p>
      <w:pPr>
        <w:spacing w:after="120"/>
        <w:ind w:firstLine="700"/>
      </w:pPr>
    </w:p>
    <w:p>
      <w:pPr>
        <w:spacing w:after="120"/>
        <w:ind w:firstLine="700"/>
      </w:pPr>
    </w:p>
    <w:p>
      <w:pPr>
        <w:spacing w:after="120"/>
        <w:ind w:firstLine="700"/>
      </w:pPr>
    </w:p>
    <w:p>
      <w:pPr>
        <w:spacing w:after="120"/>
        <w:ind w:firstLine="700"/>
        <w:jc w:val="left"/>
      </w:pPr>
      <w:r>
        <w:rPr>
          <w:rFonts w:ascii="Times New Roman" w:hAnsi="Times New Roman"/>
          <w:b w:val="0"/>
          <w:sz w:val="28"/>
        </w:rPr>
        <w:t>Выполнил: студент гр. 5130904/20103 Гамин В.В.</w:t>
      </w:r>
    </w:p>
    <w:p>
      <w:pPr>
        <w:spacing w:after="120"/>
        <w:ind w:firstLine="700"/>
        <w:jc w:val="left"/>
      </w:pPr>
      <w:r>
        <w:rPr>
          <w:rFonts w:ascii="Times New Roman" w:hAnsi="Times New Roman"/>
          <w:b w:val="0"/>
          <w:sz w:val="28"/>
        </w:rPr>
        <w:t>Руководитель: Маслаков А.П.</w:t>
      </w:r>
    </w:p>
    <w:p>
      <w:pPr>
        <w:spacing w:after="120"/>
        <w:ind w:firstLine="700"/>
      </w:pPr>
    </w:p>
    <w:p>
      <w:pPr>
        <w:spacing w:after="120"/>
        <w:ind w:firstLine="700"/>
      </w:pPr>
    </w:p>
    <w:p>
      <w:pPr>
        <w:spacing w:after="120"/>
        <w:ind w:firstLine="700"/>
      </w:pPr>
    </w:p>
    <w:p>
      <w:pPr>
        <w:spacing w:after="120"/>
        <w:ind w:firstLine="700"/>
      </w:pPr>
    </w:p>
    <w:p>
      <w:pPr>
        <w:spacing w:after="120"/>
        <w:ind w:firstLine="700"/>
      </w:pPr>
    </w:p>
    <w:p>
      <w:pPr>
        <w:spacing w:after="120"/>
        <w:ind w:firstLine="700"/>
      </w:pPr>
    </w:p>
    <w:p>
      <w:pPr>
        <w:spacing w:after="120"/>
        <w:ind w:firstLine="700"/>
      </w:pPr>
    </w:p>
    <w:p>
      <w:pPr>
        <w:spacing w:after="120"/>
        <w:ind w:firstLine="700"/>
        <w:jc w:val="center"/>
      </w:pPr>
      <w:r>
        <w:rPr>
          <w:rFonts w:ascii="Times New Roman" w:hAnsi="Times New Roman"/>
          <w:b w:val="0"/>
          <w:sz w:val="28"/>
        </w:rPr>
        <w:t>Санкт-Петербург</w:t>
      </w:r>
    </w:p>
    <w:p>
      <w:pPr>
        <w:spacing w:after="120"/>
        <w:ind w:firstLine="700"/>
        <w:jc w:val="center"/>
      </w:pPr>
      <w:r>
        <w:rPr>
          <w:rFonts w:ascii="Times New Roman" w:hAnsi="Times New Roman"/>
          <w:b w:val="0"/>
          <w:sz w:val="28"/>
        </w:rPr>
        <w:t>2026 г.</w:t>
      </w:r>
    </w:p>
    <w:p>
      <w:r>
        <w:br w:type="page"/>
      </w:r>
    </w:p>
    <w:p>
      <w:pPr>
        <w:pStyle w:val="1"/>
      </w:pPr>
      <w:r>
        <w:rPr>
          <w:rFonts w:ascii="Times New Roman" w:hAnsi="Times New Roman"/>
          <w:b/>
          <w:sz w:val="32"/>
        </w:rPr>
        <w:t>1. Описание выполненной работы</w:t>
      </w:r>
    </w:p>
    <w:p>
      <w:pPr>
        <w:spacing w:after="120"/>
        <w:ind w:firstLine="700"/>
      </w:pPr>
      <w:r>
        <w:rPr>
          <w:rFonts w:ascii="Times New Roman" w:hAnsi="Times New Roman"/>
          <w:b w:val="0"/>
          <w:sz w:val="28"/>
        </w:rPr>
        <w:t>Интеграционное и системное тестирование было выполнено для приложения Teachers Preferences, состоящего из нескольких взаимодействующих частей: backend, frontend, базы данных PostgreSQL и отдельного модуля schedule-etl. Основной целью было подтвердить корректную работу пользовательских сценариев на уровне взаимодействия модулей и на уровне полного пользовательского потока.</w:t>
      </w:r>
    </w:p>
    <w:tbl>
      <w:tblPr>
        <w:tblStyle w:val="a7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Компонент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Назначение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Роль в тестировании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Auth API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Регистрация и вход пользователя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Проверяется в интеграционных и системных сценариях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Teacher API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Сохранение и чтение предпочтений преподавателя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Основной объект интеграционных сценариев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Admin API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Просмотр и экспорт всех предпочтений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Проверка ролевого доступа и системных сценариев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React frontend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UI преподавателя и администратора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Проверяется реальными browser E2E тестами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PostgreSQL / Docker Compose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Полноценное runtime-окружение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Используется в CI для frontend system job</w:t>
            </w:r>
          </w:p>
        </w:tc>
      </w:tr>
    </w:tbl>
    <w:p>
      <w:pPr>
        <w:pStyle w:val="2"/>
      </w:pPr>
      <w:r>
        <w:rPr>
          <w:rFonts w:ascii="Times New Roman" w:hAnsi="Times New Roman"/>
          <w:b/>
          <w:sz w:val="28"/>
        </w:rPr>
        <w:t>1.1. Используемые инструменты</w:t>
      </w:r>
    </w:p>
    <w:tbl>
      <w:tblPr>
        <w:tblStyle w:val="a7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Инструмент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Назначение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Spring Boot Test + TestRestTemplate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Интеграционные и backend system сценарии через реальные HTTP-вызовы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Vitest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Интеграционные frontend-сценарии с контролируемыми mock-зависимостями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Playwright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Реальные browser E2E тесты поверх живого frontend/backend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Docker Compose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Подъём полного окружения в CI для system/E2E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GitHub Actions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Автоматический запуск тестов на pull request, push и вручную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Mockito / mocks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Изоляция внешних зависимостей на интеграционном уровне там, где это оправдано</w:t>
            </w:r>
          </w:p>
        </w:tc>
      </w:tr>
    </w:tbl>
    <w:p>
      <w:pPr>
        <w:pStyle w:val="1"/>
      </w:pPr>
      <w:r>
        <w:rPr>
          <w:rFonts w:ascii="Times New Roman" w:hAnsi="Times New Roman"/>
          <w:b/>
          <w:sz w:val="32"/>
        </w:rPr>
        <w:t>2. Тест-план интеграционного тестирования</w:t>
      </w:r>
    </w:p>
    <w:p>
      <w:pPr>
        <w:spacing w:after="120"/>
        <w:ind w:firstLine="700"/>
      </w:pPr>
      <w:r>
        <w:rPr>
          <w:rFonts w:ascii="Times New Roman" w:hAnsi="Times New Roman"/>
          <w:b w:val="0"/>
          <w:sz w:val="28"/>
        </w:rPr>
        <w:t>Минимальное требование в 10 сценариев выполнено. Основные сценарии интеграционного тестирования:</w:t>
      </w:r>
    </w:p>
    <w:tbl>
      <w:tblPr>
        <w:tblStyle w:val="a7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ID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Сценарий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Ожидаемый результат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INT-01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Повторная регистрация пользователя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Второй запрос отклоняется со статусом 400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INT-02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Вход с неверным паролем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Система возвращает 401 / отказ во входе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INT-03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Доступ к teacher API без токена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Система возвращает 403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INT-04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Сохранение semester preference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Предпочтение сохраняется и возвращается в ответе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INT-05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Сохранение двух записей semester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При чтении возвращается тот же набор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INT-06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Повторное сохранение session preference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Старые записи того же типа заменяются новыми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INT-07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Teacher обращается к admin API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Доступ запрещён, статус 403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INT-08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Изоляция данных semester / session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Типы не смешиваются между собой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INT-09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Frontend route /teacher/:type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Композиция маршрутов корректно рендерит форму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INT-10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Frontend unknown route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Показывается страница 404</w:t>
            </w:r>
          </w:p>
        </w:tc>
      </w:tr>
    </w:tbl>
    <w:p>
      <w:pPr>
        <w:spacing w:after="120"/>
        <w:ind w:firstLine="700"/>
      </w:pPr>
      <w:r>
        <w:rPr>
          <w:rFonts w:ascii="Times New Roman" w:hAnsi="Times New Roman"/>
          <w:b w:val="0"/>
          <w:sz w:val="28"/>
        </w:rPr>
        <w:t>На интеграционном уровне используются заглушки для изоляции окружения только там, где это необходимо: например, во frontend integration-тестах замещаются API-вызовы и отдельные React-компоненты. При этом backend integration-сценарии выполняются через реальный HTTP-слой Spring Boot.</w:t>
      </w:r>
    </w:p>
    <w:p>
      <w:pPr>
        <w:pStyle w:val="1"/>
      </w:pPr>
      <w:r>
        <w:rPr>
          <w:rFonts w:ascii="Times New Roman" w:hAnsi="Times New Roman"/>
          <w:b/>
          <w:sz w:val="32"/>
        </w:rPr>
        <w:t>3. Результаты интеграционных тестов на CI</w:t>
      </w:r>
    </w:p>
    <w:tbl>
      <w:tblPr>
        <w:tblStyle w:val="a7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Набор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Количество сценариев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CI-команда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backend integration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mvn -B -ntp test "-Dtest=*IntegrationTest"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frontend integration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17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npm run test:integration</w:t>
            </w:r>
          </w:p>
        </w:tc>
      </w:tr>
    </w:tbl>
    <w:p>
      <w:pPr>
        <w:spacing w:after="120"/>
        <w:ind w:firstLine="700"/>
      </w:pPr>
      <w:r>
        <w:rPr>
          <w:rFonts w:ascii="Times New Roman" w:hAnsi="Times New Roman"/>
          <w:b w:val="0"/>
          <w:sz w:val="28"/>
        </w:rPr>
        <w:t>Интеграционные тесты запускаются в GitHub Actions по событию изменения кода. Отчёты формируются стандартными средствами Maven Surefire и Vitest.</w:t>
      </w:r>
    </w:p>
    <w:p>
      <w:pPr>
        <w:pStyle w:val="1"/>
      </w:pPr>
      <w:r>
        <w:rPr>
          <w:rFonts w:ascii="Times New Roman" w:hAnsi="Times New Roman"/>
          <w:b/>
          <w:sz w:val="32"/>
        </w:rPr>
        <w:t>4. Тест-план системного / End-to-End тестирования</w:t>
      </w:r>
    </w:p>
    <w:p>
      <w:pPr>
        <w:spacing w:after="120"/>
        <w:ind w:firstLine="700"/>
      </w:pPr>
      <w:r>
        <w:rPr>
          <w:rFonts w:ascii="Times New Roman" w:hAnsi="Times New Roman"/>
          <w:b w:val="0"/>
          <w:sz w:val="28"/>
        </w:rPr>
        <w:t>Для системного уровня были реализованы как backend system HTTP-сценарии, так и реальные browser E2E тесты frontend через Playwright. Во frontend system job больше не используются моки API: тесты работают по живому UI после запуска backend, frontend и PostgreSQL через Docker Compose.</w:t>
      </w:r>
    </w:p>
    <w:tbl>
      <w:tblPr>
        <w:tblStyle w:val="a7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ID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Сценарий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Ожидаемый результат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SYS-01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Регистрация преподавателя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Пользователь успешно создаётся через UI/API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SYS-02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Логин преподавателя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Пользователь попадает на teacher dashboard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SYS-03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Сохранение semester preferences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Данные сохраняются и доступны после чтения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SYS-04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Сохранение session preferences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Данные сохраняются и восстанавливаются после reload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SYS-05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Недопустимый логин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Показывается ошибка аутентификации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SYS-06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Доступ к teacher API без токена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Система возвращает отказ в доступе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SYS-07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Повторное сохранение semester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Старый набор заменяется новым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SYS-08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Изоляция semester и session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Данные разных типов не смешиваются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SYS-09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Teacher не имеет доступа к admin API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Возвращается 403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SYS-10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Администратор видит сохранённые данные и экспортирует Excel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UI и backend совместно выполняют бизнес-сценарий</w:t>
            </w:r>
          </w:p>
        </w:tc>
      </w:tr>
    </w:tbl>
    <w:p>
      <w:pPr>
        <w:pStyle w:val="1"/>
      </w:pPr>
      <w:r>
        <w:rPr>
          <w:rFonts w:ascii="Times New Roman" w:hAnsi="Times New Roman"/>
          <w:b/>
          <w:sz w:val="32"/>
        </w:rPr>
        <w:t>5. Результаты системных тестов и CI</w:t>
      </w:r>
    </w:p>
    <w:tbl>
      <w:tblPr>
        <w:tblStyle w:val="a7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Набор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Количество сценариев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CI-команда / job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backend system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mvn -B -ntp test "-Dtest=*SystemTest,*SystemE2ETest"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frontend Playwright E2E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4 реальных browser-сценария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frontend-system job в `.github/workflows/project-tests.yml`</w:t>
            </w:r>
          </w:p>
        </w:tc>
      </w:tr>
    </w:tbl>
    <w:p>
      <w:pPr>
        <w:spacing w:after="120"/>
        <w:ind w:firstLine="700"/>
      </w:pPr>
      <w:r>
        <w:rPr>
          <w:rFonts w:ascii="Times New Roman" w:hAnsi="Times New Roman"/>
          <w:b w:val="0"/>
          <w:sz w:val="28"/>
        </w:rPr>
        <w:t>Workflow `frontend-system` устанавливает Playwright, поднимает приложение через Docker Compose, ожидает готовности frontend и backend, затем выполняет `npm run test:system` и сохраняет `playwright-report` в артефакты GitHub Actions. Это устраняет прежнюю ситуацию, когда системные тесты фактически ограничивались jsdom-моками.</w:t>
      </w:r>
    </w:p>
    <w:p>
      <w:pPr>
        <w:pStyle w:val="1"/>
      </w:pPr>
      <w:r>
        <w:rPr>
          <w:rFonts w:ascii="Times New Roman" w:hAnsi="Times New Roman"/>
          <w:b/>
          <w:sz w:val="32"/>
        </w:rPr>
        <w:t>6. Процедура расширения тестового набора</w:t>
      </w:r>
    </w:p>
    <w:p>
      <w:pPr>
        <w:spacing w:after="120"/>
        <w:ind w:firstLine="700"/>
      </w:pPr>
      <w:r>
        <w:rPr>
          <w:rFonts w:ascii="Times New Roman" w:hAnsi="Times New Roman"/>
          <w:b w:val="0"/>
          <w:sz w:val="28"/>
        </w:rPr>
        <w:t>При добавлении новой функциональной части, например нового типа предпочтения или дополнительного административного действия, набор тестов расширяется по следующему шаблону:</w:t>
      </w:r>
    </w:p>
    <w:p>
      <w:pPr>
        <w:ind w:left="360"/>
      </w:pPr>
      <w:r>
        <w:rPr>
          <w:rFonts w:ascii="Times New Roman" w:hAnsi="Times New Roman"/>
          <w:sz w:val="28"/>
        </w:rPr>
        <w:t>1. Добавить backend integration-сценарий на взаимодействие нового endpoint с уже существующими модулями.</w:t>
      </w:r>
    </w:p>
    <w:p>
      <w:pPr>
        <w:ind w:left="360"/>
      </w:pPr>
      <w:r>
        <w:rPr>
          <w:rFonts w:ascii="Times New Roman" w:hAnsi="Times New Roman"/>
          <w:sz w:val="28"/>
        </w:rPr>
        <w:t>2. Добавить frontend integration-тест на композицию маршрута или формы с mock API, если требуется изоляция.</w:t>
      </w:r>
    </w:p>
    <w:p>
      <w:pPr>
        <w:ind w:left="360"/>
      </w:pPr>
      <w:r>
        <w:rPr>
          <w:rFonts w:ascii="Times New Roman" w:hAnsi="Times New Roman"/>
          <w:sz w:val="28"/>
        </w:rPr>
        <w:t>3. Добавить реальный Playwright E2E сценарий через UI для ключевого пользовательского потока.</w:t>
      </w:r>
    </w:p>
    <w:p>
      <w:pPr>
        <w:ind w:left="360"/>
      </w:pPr>
      <w:r>
        <w:rPr>
          <w:rFonts w:ascii="Times New Roman" w:hAnsi="Times New Roman"/>
          <w:sz w:val="28"/>
        </w:rPr>
        <w:t>4. Обновить CI workflow и тест-план, если новая функциональность требует отдельного шага подготовки окружения.</w:t>
      </w:r>
    </w:p>
    <w:p>
      <w:pPr>
        <w:pStyle w:val="1"/>
      </w:pPr>
      <w:r>
        <w:rPr>
          <w:rFonts w:ascii="Times New Roman" w:hAnsi="Times New Roman"/>
          <w:b/>
          <w:sz w:val="32"/>
        </w:rPr>
        <w:t>7. Замечание по CodeRabbit и PR-пайплайну</w:t>
      </w:r>
    </w:p>
    <w:p>
      <w:pPr>
        <w:spacing w:after="120"/>
        <w:ind w:firstLine="700"/>
      </w:pPr>
      <w:r>
        <w:rPr>
          <w:rFonts w:ascii="Times New Roman" w:hAnsi="Times New Roman"/>
          <w:b w:val="0"/>
          <w:sz w:val="28"/>
        </w:rPr>
        <w:t>Для устранения зависаний CodeRabbit в pull request была добавлена конфигурация `.coderabbit.yaml`: авто-review разрешён для любых base branches, отключено ожидание GitHub checks внутри CodeRabbit, а также исключены из анализа большие артефакты (`target`, `coverage`, `node_modules`, zip-файлы). Это снижает вероятность бесконечного pending-состояния и ускоряет обработку PR.</w:t>
      </w:r>
    </w:p>
    <w:sectPr w:rsidR="00844A5B" w:rsidRPr="00844A5B" w:rsidSect="003642BE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0AA9DB" w14:textId="77777777" w:rsidR="00B856F1" w:rsidRDefault="00B856F1" w:rsidP="003642BE">
      <w:r>
        <w:separator/>
      </w:r>
    </w:p>
  </w:endnote>
  <w:endnote w:type="continuationSeparator" w:id="0">
    <w:p w14:paraId="35A98837" w14:textId="77777777" w:rsidR="00B856F1" w:rsidRDefault="00B856F1" w:rsidP="003642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06222135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14:paraId="7BAAA2AE" w14:textId="510DA5C1" w:rsidR="003642BE" w:rsidRPr="003642BE" w:rsidRDefault="003642BE" w:rsidP="003642BE">
        <w:pPr>
          <w:pStyle w:val="aa"/>
          <w:jc w:val="center"/>
          <w:rPr>
            <w:sz w:val="20"/>
            <w:szCs w:val="20"/>
          </w:rPr>
        </w:pPr>
        <w:r w:rsidRPr="003642BE">
          <w:rPr>
            <w:sz w:val="20"/>
            <w:szCs w:val="20"/>
          </w:rPr>
          <w:fldChar w:fldCharType="begin"/>
        </w:r>
        <w:r w:rsidRPr="003642BE">
          <w:rPr>
            <w:sz w:val="20"/>
            <w:szCs w:val="20"/>
          </w:rPr>
          <w:instrText>PAGE   \* MERGEFORMAT</w:instrText>
        </w:r>
        <w:r w:rsidRPr="003642BE">
          <w:rPr>
            <w:sz w:val="20"/>
            <w:szCs w:val="20"/>
          </w:rPr>
          <w:fldChar w:fldCharType="separate"/>
        </w:r>
        <w:r w:rsidRPr="003642BE">
          <w:rPr>
            <w:sz w:val="20"/>
            <w:szCs w:val="20"/>
          </w:rPr>
          <w:t>2</w:t>
        </w:r>
        <w:r w:rsidRPr="003642BE">
          <w:rPr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3DC5E0" w14:textId="77777777" w:rsidR="00B856F1" w:rsidRDefault="00B856F1" w:rsidP="003642BE">
      <w:r>
        <w:separator/>
      </w:r>
    </w:p>
  </w:footnote>
  <w:footnote w:type="continuationSeparator" w:id="0">
    <w:p w14:paraId="6865BFEB" w14:textId="77777777" w:rsidR="00B856F1" w:rsidRDefault="00B856F1" w:rsidP="003642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C3962"/>
    <w:multiLevelType w:val="multilevel"/>
    <w:tmpl w:val="86FA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5D216A"/>
    <w:multiLevelType w:val="multilevel"/>
    <w:tmpl w:val="82AA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D64809"/>
    <w:multiLevelType w:val="multilevel"/>
    <w:tmpl w:val="1E86717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18372A"/>
    <w:multiLevelType w:val="multilevel"/>
    <w:tmpl w:val="1A801F6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55029D"/>
    <w:multiLevelType w:val="multilevel"/>
    <w:tmpl w:val="1A801F6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592E10"/>
    <w:multiLevelType w:val="multilevel"/>
    <w:tmpl w:val="CD98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2"/>
  </w:num>
  <w:num w:numId="5">
    <w:abstractNumId w:val="3"/>
  </w:num>
  <w:num w:numId="6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78B"/>
    <w:rsid w:val="00051C88"/>
    <w:rsid w:val="001D6F8C"/>
    <w:rsid w:val="001F2A96"/>
    <w:rsid w:val="00211523"/>
    <w:rsid w:val="00257ABB"/>
    <w:rsid w:val="002745DE"/>
    <w:rsid w:val="00283EA7"/>
    <w:rsid w:val="0029320A"/>
    <w:rsid w:val="00300E83"/>
    <w:rsid w:val="00347789"/>
    <w:rsid w:val="003642BE"/>
    <w:rsid w:val="003F109A"/>
    <w:rsid w:val="0040239C"/>
    <w:rsid w:val="00435B88"/>
    <w:rsid w:val="00483853"/>
    <w:rsid w:val="004947A6"/>
    <w:rsid w:val="00496587"/>
    <w:rsid w:val="004C49FB"/>
    <w:rsid w:val="00501F6B"/>
    <w:rsid w:val="00524D67"/>
    <w:rsid w:val="005867C0"/>
    <w:rsid w:val="00590B45"/>
    <w:rsid w:val="005F642F"/>
    <w:rsid w:val="006229F8"/>
    <w:rsid w:val="00686B67"/>
    <w:rsid w:val="006E16CA"/>
    <w:rsid w:val="00721556"/>
    <w:rsid w:val="007944E7"/>
    <w:rsid w:val="00832197"/>
    <w:rsid w:val="00844A5B"/>
    <w:rsid w:val="008A1217"/>
    <w:rsid w:val="008A2A11"/>
    <w:rsid w:val="008A7754"/>
    <w:rsid w:val="008E21B3"/>
    <w:rsid w:val="0092730E"/>
    <w:rsid w:val="00950D6B"/>
    <w:rsid w:val="009F17AD"/>
    <w:rsid w:val="009F1E5C"/>
    <w:rsid w:val="00A274C3"/>
    <w:rsid w:val="00A55B35"/>
    <w:rsid w:val="00AE7B35"/>
    <w:rsid w:val="00AF009E"/>
    <w:rsid w:val="00B67166"/>
    <w:rsid w:val="00B704F6"/>
    <w:rsid w:val="00B856F1"/>
    <w:rsid w:val="00BA4541"/>
    <w:rsid w:val="00BB193C"/>
    <w:rsid w:val="00C80E4C"/>
    <w:rsid w:val="00CB3A76"/>
    <w:rsid w:val="00D969A3"/>
    <w:rsid w:val="00DC329E"/>
    <w:rsid w:val="00DD6029"/>
    <w:rsid w:val="00E803C5"/>
    <w:rsid w:val="00ED078B"/>
    <w:rsid w:val="00ED17D0"/>
    <w:rsid w:val="00EF60CC"/>
    <w:rsid w:val="00F0327A"/>
    <w:rsid w:val="00FB1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568AF"/>
  <w15:chartTrackingRefBased/>
  <w15:docId w15:val="{0493512B-A6F3-41C5-AD9B-3AF29E392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078B"/>
    <w:pPr>
      <w:spacing w:after="0"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D078B"/>
    <w:pPr>
      <w:keepNext/>
      <w:keepLines/>
      <w:spacing w:before="240"/>
      <w:outlineLvl w:val="0"/>
    </w:pPr>
    <w:rPr>
      <w:rFonts w:asciiTheme="majorHAnsi" w:eastAsiaTheme="majorEastAsia" w:hAnsiTheme="majorHAnsi" w:cstheme="majorBidi" w:ascii="Times New Roman" w:hAnsi="Times New Roman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D078B"/>
    <w:pPr>
      <w:keepNext/>
      <w:keepLines/>
      <w:spacing w:before="40"/>
      <w:outlineLvl w:val="1"/>
    </w:pPr>
    <w:rPr>
      <w:rFonts w:asciiTheme="majorHAnsi" w:eastAsiaTheme="majorEastAsia" w:hAnsiTheme="majorHAnsi" w:cstheme="majorBidi" w:ascii="Times New Roman" w:hAnsi="Times New Roman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D078B"/>
    <w:pPr>
      <w:keepNext/>
      <w:keepLines/>
      <w:spacing w:before="40"/>
      <w:outlineLvl w:val="2"/>
    </w:pPr>
    <w:rPr>
      <w:rFonts w:asciiTheme="majorHAnsi" w:eastAsiaTheme="majorEastAsia" w:hAnsiTheme="majorHAnsi" w:cstheme="majorBidi" w:ascii="Times New Roman" w:hAnsi="Times New Roman"/>
      <w:color w:val="1F3763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219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078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D078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D078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styleId="a3">
    <w:name w:val="Hyperlink"/>
    <w:basedOn w:val="a0"/>
    <w:uiPriority w:val="99"/>
    <w:unhideWhenUsed/>
    <w:rsid w:val="00ED078B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ED078B"/>
    <w:pPr>
      <w:tabs>
        <w:tab w:val="right" w:leader="dot" w:pos="9345"/>
      </w:tabs>
      <w:spacing w:after="100"/>
    </w:pPr>
    <w:rPr>
      <w:b/>
      <w:bCs/>
      <w:noProof/>
      <w:sz w:val="28"/>
    </w:rPr>
  </w:style>
  <w:style w:type="paragraph" w:styleId="a4">
    <w:name w:val="TOC Heading"/>
    <w:basedOn w:val="1"/>
    <w:next w:val="a"/>
    <w:uiPriority w:val="39"/>
    <w:semiHidden/>
    <w:unhideWhenUsed/>
    <w:qFormat/>
    <w:rsid w:val="00ED078B"/>
    <w:pPr>
      <w:spacing w:line="256" w:lineRule="auto"/>
      <w:outlineLvl w:val="9"/>
    </w:pPr>
  </w:style>
  <w:style w:type="paragraph" w:styleId="a5">
    <w:name w:val="Title"/>
    <w:basedOn w:val="a"/>
    <w:next w:val="a"/>
    <w:link w:val="a6"/>
    <w:uiPriority w:val="10"/>
    <w:qFormat/>
    <w:rsid w:val="00ED078B"/>
    <w:pPr>
      <w:keepNext/>
      <w:keepLines/>
      <w:spacing w:after="60" w:line="276" w:lineRule="auto"/>
    </w:pPr>
    <w:rPr>
      <w:rFonts w:ascii="Times New Roman" w:eastAsia="Arial" w:hAnsi="Times New Roman" w:cs="Arial"/>
      <w:sz w:val="52"/>
      <w:szCs w:val="52"/>
      <w:lang w:val="ru"/>
    </w:rPr>
  </w:style>
  <w:style w:type="character" w:customStyle="1" w:styleId="a6">
    <w:name w:val="Заголовок Знак"/>
    <w:basedOn w:val="a0"/>
    <w:link w:val="a5"/>
    <w:uiPriority w:val="10"/>
    <w:rsid w:val="00ED078B"/>
    <w:rPr>
      <w:rFonts w:ascii="Arial" w:eastAsia="Arial" w:hAnsi="Arial" w:cs="Arial"/>
      <w:sz w:val="52"/>
      <w:szCs w:val="52"/>
      <w:lang w:val="ru" w:eastAsia="ru-RU"/>
    </w:rPr>
  </w:style>
  <w:style w:type="paragraph" w:styleId="21">
    <w:name w:val="toc 2"/>
    <w:basedOn w:val="a"/>
    <w:next w:val="a"/>
    <w:autoRedefine/>
    <w:uiPriority w:val="39"/>
    <w:unhideWhenUsed/>
    <w:rsid w:val="00ED078B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ED078B"/>
    <w:pPr>
      <w:spacing w:after="100"/>
      <w:ind w:left="440"/>
    </w:pPr>
  </w:style>
  <w:style w:type="paragraph" w:styleId="HTML">
    <w:name w:val="HTML Preformatted"/>
    <w:basedOn w:val="a"/>
    <w:link w:val="HTML0"/>
    <w:uiPriority w:val="99"/>
    <w:unhideWhenUsed/>
    <w:rsid w:val="006229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6229F8"/>
    <w:rPr>
      <w:rFonts w:ascii="Courier New" w:eastAsia="Times New Roman" w:hAnsi="Courier New" w:cs="Courier New"/>
      <w:sz w:val="20"/>
      <w:szCs w:val="20"/>
      <w:lang w:eastAsia="ru-RU"/>
    </w:rPr>
  </w:style>
  <w:style w:type="table" w:styleId="a7">
    <w:name w:val="Table Grid"/>
    <w:basedOn w:val="a1"/>
    <w:uiPriority w:val="59"/>
    <w:rsid w:val="003642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3642B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3642BE"/>
    <w:rPr>
      <w:rFonts w:ascii="Times New Roman" w:eastAsiaTheme="minorEastAsia" w:hAnsi="Times New Roman" w:cs="Times New Roman"/>
      <w:lang w:eastAsia="ru-RU"/>
    </w:rPr>
  </w:style>
  <w:style w:type="paragraph" w:styleId="aa">
    <w:name w:val="footer"/>
    <w:basedOn w:val="a"/>
    <w:link w:val="ab"/>
    <w:uiPriority w:val="99"/>
    <w:unhideWhenUsed/>
    <w:rsid w:val="003642B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3642BE"/>
    <w:rPr>
      <w:rFonts w:ascii="Times New Roman" w:eastAsiaTheme="minorEastAsia" w:hAnsi="Times New Roman" w:cs="Times New Roman"/>
      <w:lang w:eastAsia="ru-RU"/>
    </w:rPr>
  </w:style>
  <w:style w:type="paragraph" w:styleId="ac">
    <w:name w:val="caption"/>
    <w:basedOn w:val="a"/>
    <w:next w:val="a"/>
    <w:uiPriority w:val="35"/>
    <w:unhideWhenUsed/>
    <w:qFormat/>
    <w:rsid w:val="00B704F6"/>
    <w:pPr>
      <w:spacing w:after="200"/>
    </w:pPr>
    <w:rPr>
      <w:i/>
      <w:iCs/>
      <w:color w:val="44546A" w:themeColor="text2"/>
      <w:sz w:val="18"/>
      <w:szCs w:val="18"/>
    </w:rPr>
  </w:style>
  <w:style w:type="paragraph" w:styleId="ad">
    <w:name w:val="List Paragraph"/>
    <w:basedOn w:val="a"/>
    <w:uiPriority w:val="34"/>
    <w:qFormat/>
    <w:rsid w:val="00FB1DB6"/>
    <w:pPr>
      <w:ind w:left="720"/>
      <w:contextualSpacing/>
    </w:pPr>
  </w:style>
  <w:style w:type="paragraph" w:styleId="ae">
    <w:name w:val="Normal (Web)"/>
    <w:basedOn w:val="a"/>
    <w:uiPriority w:val="99"/>
    <w:unhideWhenUsed/>
    <w:rsid w:val="00832197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832197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83219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af">
    <w:name w:val="Grid Table Light"/>
    <w:basedOn w:val="a1"/>
    <w:uiPriority w:val="40"/>
    <w:rsid w:val="0083219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0">
    <w:name w:val="annotation reference"/>
    <w:basedOn w:val="a0"/>
    <w:uiPriority w:val="99"/>
    <w:semiHidden/>
    <w:unhideWhenUsed/>
    <w:rsid w:val="00051C88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051C88"/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051C88"/>
    <w:rPr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051C88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051C8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1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0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45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9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919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094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695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222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050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66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03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1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2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6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9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78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9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1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7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18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5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09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1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88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17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27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045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607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339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073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725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472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388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385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50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2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0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9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9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0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12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51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68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1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48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73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43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22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09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12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04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5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68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1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701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522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01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209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176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423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220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468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27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4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08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97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5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9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2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76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96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1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1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01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20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75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17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7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7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5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20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8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83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1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22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76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30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89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36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6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09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7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98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1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0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19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2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0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8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68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80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02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3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57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1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2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45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55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3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47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16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4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79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82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66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06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698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903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096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392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938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043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474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062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23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34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83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85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8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0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87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2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0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2F571A-A619-4F5F-80F1-55C6CF471E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11</Pages>
  <Words>2209</Words>
  <Characters>12597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Яцуненко Максим Игоревич</dc:creator>
  <cp:keywords/>
  <dc:description/>
  <cp:lastModifiedBy>Яцуненко Максим Игоревич</cp:lastModifiedBy>
  <cp:revision>10</cp:revision>
  <dcterms:created xsi:type="dcterms:W3CDTF">2026-02-26T12:51:00Z</dcterms:created>
  <dcterms:modified xsi:type="dcterms:W3CDTF">2026-03-26T16:30:00Z</dcterms:modified>
</cp:coreProperties>
</file>