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/>
    <w:p>
      <w:pPr>
        <w:pStyle w:val="Heading2"/>
      </w:pPr>
      <w:r>
        <w:t>What data (for example the types, formats, and volumes) will be collected or produced?</w:t>
      </w:r>
    </w:p>
    <w:p/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/>
    <w:p>
      <w:pPr>
        <w:pStyle w:val="Heading2"/>
      </w:pPr>
      <w:r>
        <w:t>What data quality control measures will be used?</w:t>
      </w:r>
    </w:p>
    <w:p/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/>
    <w:p>
      <w:pPr>
        <w:pStyle w:val="Heading2"/>
      </w:pPr>
      <w:r>
        <w:t>How will data security and protection of sensitive data be taken care of during the research?</w:t>
      </w:r>
    </w:p>
    <w:p/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/>
    <w:p>
      <w:pPr>
        <w:pStyle w:val="Heading2"/>
      </w:pPr>
      <w:r>
        <w:t>How will other legal issues, such as intelectual property rights and ownership, be managed? What legislation is applicable?</w:t>
      </w:r>
    </w:p>
    <w:p/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/>
    <w:p>
      <w:pPr>
        <w:pStyle w:val="Heading2"/>
      </w:pPr>
      <w:r>
        <w:t>How will the application of a unique and persistent identifier (such us a Digital Object Identifier (DOI)) to each data set be ensured?</w:t>
      </w:r>
    </w:p>
    <w:p/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