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Sposób pozyskiwania danych, np.: pobieranie danych przestrzennych w otwartym dostępie, np. Baza Danych Obiektów Topograficznych (BDOT10k); pozyskanie bezpłatnych map do celów naukowych w Wydziału Geodezji Urzędu Miejskiego w Gdańsku; wykonywanie pomiarów (długości, wysokości, powierzchni) zgodnie z rozdz. III ust. 2 regulaminu aplikacji</w:t>
      </w:r>
    </w:p>
    <w:p>
      <w:r>
        <w:t>OblView dostępnej przez publiczną miejską stronę Biura Rozwoju Gdańska.</w:t>
      </w:r>
    </w:p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Dane zbierane, przetwarzane i zapisywane w szczególności przy użyciu:</w:t>
      </w:r>
    </w:p>
    <w:p>
      <w:r>
        <w:t>oprogramowania CAD, np. przenoszenie zebranych danych na nowopowstałe zwymiarowane i opisane rysunki przekrojowe. przy użyciu oprogramowania kalkulacyjnego - dane w formie zestawień tabelarycznych. przy użyciu edytora tekstu - dane w formie interpretacji tekstowej analiz przestrzennych i zestawień tabelarycznych.</w:t>
      </w:r>
    </w:p>
    <w:p>
      <w:pPr>
        <w:pStyle w:val="Heading2"/>
      </w:pPr>
      <w:r>
        <w:t>What data quality control measures will be used?</w:t>
      </w:r>
    </w:p>
    <w:p>
      <w:r>
        <w:t>Posługiwanie się danymi wytworzonymi dla sektora publicznego i udostępnianych przez sektor publiczny (mapy do celów informacyjnych, aplikacje umożliwiające wymiarowanie ortofotomap ukośnych).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Dane będą przechowywane w chmurze w ramach pojemności udostępnianej przez Politechnikę Gdańską.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Dane podlegają zabezpieczeniu dostępu systemem weryfikacji użytkownika (email służbowy, hasło, kody SMS, VPN).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OSF, SONATA-20 Strona 30 ID: 632106, 2024-12-04 22:06: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Wykorzystanie danych publicznych lub udostępnionych publicznie na zasadach regulaminu (np. regulamin aplikacji</w:t>
      </w:r>
    </w:p>
    <w:p>
      <w:r>
        <w:t>ObliView dostępnej przez publiczną miejską witrynę Biura Rozwoju Gdańska).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/>
    <w:p>
      <w:pPr>
        <w:pStyle w:val="Heading2"/>
      </w:pPr>
      <w:r>
        <w:t>What methods or software tools will be needed to access and use the data?</w:t>
      </w:r>
    </w:p>
    <w:p>
      <w:r>
        <w:t>Wykorzystanie oprogramowania CAD do przetwarzania cyfrowych map przestrzennych.</w:t>
      </w:r>
    </w:p>
    <w:p>
      <w:r>
        <w:t>Wykorzystanie aplikacji ObliView do dokonywania pomiarów ortofotomap/modelu 3D Gdańska.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OSF, SONATA-20 Strona 31 ID: 632106, 2024-12-04 22:06: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