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/>
    <w:p>
      <w:pPr>
        <w:pStyle w:val="Heading2"/>
      </w:pPr>
      <w:r>
        <w:t>What data (for example the types, formats, and volumes) will be collected or produced?</w:t>
      </w:r>
    </w:p>
    <w:p/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będzie dodatkowo zawierał metadane zgodne ze standardem Dublin Core. Ponad to, pliki tekstowe i binarne będą</w:t>
      </w:r>
    </w:p>
    <w:p>
      <w:r>
        <w:t>wyposażane w kody kontrolne, chroniące przed nieuprawnionymi zmianami w treści plików z danymi.</w:t>
      </w:r>
    </w:p>
    <w:p>
      <w:pPr>
        <w:pStyle w:val="Heading2"/>
      </w:pPr>
      <w:r>
        <w:t>What data quality control measures will be used?</w:t>
      </w:r>
    </w:p>
    <w:p/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/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/>
    <w:p>
      <w:pPr>
        <w:pStyle w:val="Heading2"/>
      </w:pPr>
      <w:r>
        <w:t>How will other legal issues, such as intelectual property rights and ownership, be managed? What legislation is applicable?</w:t>
      </w:r>
    </w:p>
    <w:p/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/>
    <w:p>
      <w:pPr>
        <w:pStyle w:val="Heading2"/>
      </w:pPr>
      <w:r>
        <w:t>What methods or software tools will be needed to access and use the data?</w:t>
      </w:r>
    </w:p>
    <w:p>
      <w:r>
        <w:t>repozytorium lub archiwum danych)</w:t>
      </w:r>
    </w:p>
    <w:p>
      <w:r>
        <w:t>Ze względu na niewielką objętość danych, będą one przechowywane w całości, przez co najmniej 5 lat od zakończenia</w:t>
      </w:r>
    </w:p>
    <w:p>
      <w:r>
        <w:t>wizyty, na dwóch niezależnych fizycznych nośnikach danych.</w:t>
      </w:r>
    </w:p>
    <w:p>
      <w:r>
        <w:t>sprawdzającego poprawność danych. W przypadku wadliwości pliku binarnego, zostanie on odtworzony z pliku audio.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/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mangement (i.e the data steward)?</w:t>
      </w:r>
    </w:p>
    <w:p/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