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i w:val="0"/>
          <w:color w:val="1F4E79"/>
          <w:sz w:val="48"/>
        </w:rPr>
        <w:t>Rapport d'Analyse Multivariée des Clients</w:t>
        <w:br/>
        <w:br/>
      </w:r>
      <w:r>
        <w:rPr>
          <w:rFonts w:ascii="Arial" w:hAnsi="Arial"/>
          <w:b w:val="0"/>
          <w:i/>
          <w:color w:val="5B9BD5"/>
          <w:sz w:val="32"/>
        </w:rPr>
        <w:t>Segmentation Marketing Stratégique par ACP et K-means</w:t>
      </w:r>
    </w:p>
    <w:p/>
    <w:p/>
    <w:p/>
    <w:p/>
    <w:p/>
    <w:p/>
    <w:p/>
    <w:p/>
    <w:p>
      <w:pPr>
        <w:jc w:val="center"/>
      </w:pPr>
      <w:r>
        <w:rPr>
          <w:rFonts w:ascii="Arial" w:hAnsi="Arial"/>
          <w:b/>
          <w:i w:val="0"/>
          <w:color w:val="333333"/>
          <w:sz w:val="24"/>
        </w:rPr>
        <w:t>Module : Méthodes statistiques et étude de données</w:t>
        <w:br/>
      </w:r>
      <w:r>
        <w:rPr>
          <w:rFonts w:ascii="Arial" w:hAnsi="Arial"/>
          <w:b w:val="0"/>
          <w:i w:val="0"/>
          <w:color w:val="333333"/>
          <w:sz w:val="24"/>
        </w:rPr>
        <w:t>Préparé par : Siwar &amp; Hadyle</w:t>
        <w:br/>
      </w:r>
      <w:r>
        <w:rPr>
          <w:rFonts w:ascii="Arial" w:hAnsi="Arial"/>
          <w:b w:val="0"/>
          <w:i w:val="0"/>
          <w:color w:val="808080"/>
          <w:sz w:val="22"/>
        </w:rPr>
        <w:t>Date : 22/06/2026</w:t>
        <w:br/>
      </w:r>
    </w:p>
    <w:p>
      <w:r>
        <w:br w:type="page"/>
      </w:r>
    </w:p>
    <w:p>
      <w:pPr>
        <w:keepNext/>
        <w:spacing w:before="280" w:after="120"/>
      </w:pPr>
      <w:r>
        <w:rPr>
          <w:rFonts w:ascii="Arial" w:hAnsi="Arial"/>
          <w:b/>
          <w:i w:val="0"/>
          <w:color w:val="1F4E79"/>
          <w:sz w:val="32"/>
        </w:rPr>
        <w:t>Table des Matières</w:t>
      </w:r>
    </w:p>
    <w:p>
      <w:r>
        <w:t>Introduction ....................................................................................................................... 3</w:t>
        <w:br/>
        <w:t>1. Contexte et problématique ................................................................................................. 3</w:t>
        <w:br/>
        <w:t>2. Présentation du jeu de données ........................................................................................ 4</w:t>
        <w:br/>
        <w:t>3. Préparation et nettoyage des données ............................................................................. 4</w:t>
        <w:br/>
        <w:t>4. Analyse en Composantes Principales (ACP) ....................................................................... 5</w:t>
        <w:br/>
        <w:t>5. Classification par K-means ................................................................................................ 6</w:t>
        <w:br/>
        <w:t>6. Profil et interprétation des clusters .................................................................................... 7</w:t>
        <w:br/>
        <w:t>7. Analyse combinée ACP + classification ............................................................................. 8</w:t>
        <w:br/>
        <w:t>8. Recommandations marketing ............................................................................................. 8</w:t>
        <w:br/>
        <w:t>9. Limites du projet ................................................................................................................... 9</w:t>
        <w:br/>
        <w:t>10. Conclusion générale .......................................................................................................... 9</w:t>
      </w:r>
    </w:p>
    <w:p>
      <w:r>
        <w:br w:type="page"/>
      </w:r>
    </w:p>
    <w:p>
      <w:pPr>
        <w:keepNext/>
        <w:spacing w:before="280" w:after="120"/>
      </w:pPr>
      <w:r>
        <w:rPr>
          <w:rFonts w:ascii="Arial" w:hAnsi="Arial"/>
          <w:b/>
          <w:i w:val="0"/>
          <w:color w:val="1F4E79"/>
          <w:sz w:val="32"/>
        </w:rPr>
        <w:t>Introduction</w:t>
      </w:r>
    </w:p>
    <w:p>
      <w:r>
        <w:t>Dans le cadre du module Méthodes statistiques et étude de données (Analyse multivariée), ce projet a pour objectif d’explorer un jeu de données multidimensionnel afin d’identifier des profils clients homogènes et d’en tirer des recommandations utiles à la décision marketing.</w:t>
      </w:r>
    </w:p>
    <w:p>
      <w:r>
        <w:t>L’analyse s’inscrit dans une logique de segmentation de clientèle. Dans un environnement concurrentiel, il est essentiel pour une entreprise de mieux comprendre le comportement d’achat de ses clients afin de personnaliser ses actions commerciales, améliorer le ciblage des campagnes et optimiser la fidélisation.</w:t>
      </w:r>
    </w:p>
    <w:p>
      <w:r>
        <w:t>Ce projet repose sur deux méthodes complémentaires :</w:t>
      </w:r>
    </w:p>
    <w:p>
      <w:pPr>
        <w:pStyle w:val="ListBullet"/>
      </w:pPr>
      <w:r>
        <w:t>Une Analyse en Composantes Principales (ACP) pour réduire la dimensionnalité et faire ressortir les principaux axes de variation ;</w:t>
      </w:r>
    </w:p>
    <w:p>
      <w:pPr>
        <w:pStyle w:val="ListBullet"/>
      </w:pPr>
      <w:r>
        <w:t>Une classification K-means pour segmenter les clients en groupes homogènes.</w:t>
      </w:r>
    </w:p>
    <w:p>
      <w:pPr>
        <w:keepNext/>
        <w:spacing w:before="280" w:after="120"/>
      </w:pPr>
      <w:r>
        <w:rPr>
          <w:rFonts w:ascii="Arial" w:hAnsi="Arial"/>
          <w:b/>
          <w:i w:val="0"/>
          <w:color w:val="1F4E79"/>
          <w:sz w:val="32"/>
        </w:rPr>
        <w:t>1. Contexte et problématique</w:t>
      </w:r>
    </w:p>
    <w:p>
      <w:r>
        <w:t>Les entreprises disposent aujourd’hui d’un volume important de données clients. Ces données incluent souvent des informations socio-démographiques, comportementales et transactionnelles. Leur exploitation permet d’identifier des structures cachées et de construire des profils marketing utiles à la prise de décision.</w:t>
      </w:r>
    </w:p>
    <w:p>
      <w:pPr>
        <w:keepNext/>
        <w:spacing w:before="280" w:after="120"/>
      </w:pPr>
      <w:r>
        <w:rPr>
          <w:rFonts w:ascii="Arial" w:hAnsi="Arial"/>
          <w:b/>
          <w:i w:val="0"/>
          <w:color w:val="5B9BD5"/>
          <w:sz w:val="26"/>
        </w:rPr>
        <w:t>1.1 Problématique</w:t>
      </w:r>
    </w:p>
    <w:p>
      <w:r>
        <w:rPr>
          <w:b/>
        </w:rPr>
        <w:t>Comment segmenter la clientèle en fonction de ses caractéristiques démographiques et de ses habitudes d’achat afin d’optimiser les campagnes marketing ?</w:t>
      </w:r>
    </w:p>
    <w:p>
      <w:pPr>
        <w:keepNext/>
        <w:spacing w:before="280" w:after="120"/>
      </w:pPr>
      <w:r>
        <w:rPr>
          <w:rFonts w:ascii="Arial" w:hAnsi="Arial"/>
          <w:b/>
          <w:i w:val="0"/>
          <w:color w:val="5B9BD5"/>
          <w:sz w:val="26"/>
        </w:rPr>
        <w:t>1.2 Objectifs</w:t>
      </w:r>
    </w:p>
    <w:p>
      <w:pPr>
        <w:pStyle w:val="ListNumber"/>
      </w:pPr>
      <w:r>
        <w:t>Étudier la structure d’un jeu de données multidimensionnel.</w:t>
      </w:r>
    </w:p>
    <w:p>
      <w:pPr>
        <w:pStyle w:val="ListNumber"/>
      </w:pPr>
      <w:r>
        <w:t>Réduire la dimensionnalité à l’aide d’une ACP.</w:t>
      </w:r>
    </w:p>
    <w:p>
      <w:pPr>
        <w:pStyle w:val="ListNumber"/>
      </w:pPr>
      <w:r>
        <w:t>Identifier des segments clients par classification non supervisée.</w:t>
      </w:r>
    </w:p>
    <w:p>
      <w:pPr>
        <w:pStyle w:val="ListNumber"/>
      </w:pPr>
      <w:r>
        <w:t>Interpréter les groupes obtenus.</w:t>
      </w:r>
    </w:p>
    <w:p>
      <w:pPr>
        <w:pStyle w:val="ListNumber"/>
      </w:pPr>
      <w:r>
        <w:t>Proposer des recommandations marketing adaptées.</w:t>
      </w:r>
    </w:p>
    <w:p>
      <w:pPr>
        <w:keepNext/>
        <w:spacing w:before="280" w:after="120"/>
      </w:pPr>
      <w:r>
        <w:rPr>
          <w:rFonts w:ascii="Arial" w:hAnsi="Arial"/>
          <w:b/>
          <w:i w:val="0"/>
          <w:color w:val="1F4E79"/>
          <w:sz w:val="32"/>
        </w:rPr>
        <w:t>2. Présentation du jeu de données</w:t>
      </w:r>
    </w:p>
    <w:p>
      <w:pPr>
        <w:keepNext/>
        <w:spacing w:before="280" w:after="120"/>
      </w:pPr>
      <w:r>
        <w:rPr>
          <w:rFonts w:ascii="Arial" w:hAnsi="Arial"/>
          <w:b/>
          <w:i w:val="0"/>
          <w:color w:val="5B9BD5"/>
          <w:sz w:val="26"/>
        </w:rPr>
        <w:t>2.1 Source des données</w:t>
      </w:r>
    </w:p>
    <w:p>
      <w:r>
        <w:t>Le jeu de données utilisé est Customer Personality Analysis, disponible sur la plateforme Kaggle. Il s’agit d’un dataset fréquemment utilisé pour l’analyse du comportement client et la segmentation marketing.</w:t>
      </w:r>
    </w:p>
    <w:p>
      <w:pPr>
        <w:keepNext/>
        <w:spacing w:before="280" w:after="120"/>
      </w:pPr>
      <w:r>
        <w:rPr>
          <w:rFonts w:ascii="Arial" w:hAnsi="Arial"/>
          <w:b/>
          <w:i w:val="0"/>
          <w:color w:val="5B9BD5"/>
          <w:sz w:val="26"/>
        </w:rPr>
        <w:t>2.2 Description générale</w:t>
      </w:r>
    </w:p>
    <w:p>
      <w:r>
        <w:t>Le dataset contient initialement des informations sur 2240 clients et 29 variables. Ces variables décrivent notamment :</w:t>
      </w:r>
    </w:p>
    <w:p>
      <w:pPr>
        <w:pStyle w:val="ListBullet"/>
      </w:pPr>
      <w:r>
        <w:t>Le revenu annuel des clients ;</w:t>
      </w:r>
    </w:p>
    <w:p>
      <w:pPr>
        <w:pStyle w:val="ListBullet"/>
      </w:pPr>
      <w:r>
        <w:t>Leur âge ou année de naissance ;</w:t>
      </w:r>
    </w:p>
    <w:p>
      <w:pPr>
        <w:pStyle w:val="ListBullet"/>
      </w:pPr>
      <w:r>
        <w:t>Leurs dépenses par catégories de produits (vins, fruits, viandes, etc.) ;</w:t>
      </w:r>
    </w:p>
    <w:p>
      <w:pPr>
        <w:pStyle w:val="ListBullet"/>
      </w:pPr>
      <w:r>
        <w:t>Leurs achats par canal (web, magasin, catalogue) ;</w:t>
      </w:r>
    </w:p>
    <w:p>
      <w:pPr>
        <w:pStyle w:val="ListBullet"/>
      </w:pPr>
      <w:r>
        <w:t>Leurs visites web mensuelles ;</w:t>
      </w:r>
    </w:p>
    <w:p>
      <w:pPr>
        <w:pStyle w:val="ListBullet"/>
      </w:pPr>
      <w:r>
        <w:t>Leur réaction à des campagnes marketing précédentes.</w:t>
      </w:r>
    </w:p>
    <w:p>
      <w:pPr>
        <w:keepNext/>
        <w:spacing w:before="280" w:after="120"/>
      </w:pPr>
      <w:r>
        <w:rPr>
          <w:rFonts w:ascii="Arial" w:hAnsi="Arial"/>
          <w:b/>
          <w:i w:val="0"/>
          <w:color w:val="5B9BD5"/>
          <w:sz w:val="26"/>
        </w:rPr>
        <w:t>2.3 Aperçu des données</w:t>
      </w:r>
    </w:p>
    <w:p>
      <w:r>
        <w:t>Voici la structure des premières variables clés du fichier de données d'origine :</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20"/>
        <w:gridCol w:w="3120"/>
        <w:gridCol w:w="3120"/>
      </w:tblGrid>
      <w:tr>
        <w:tc>
          <w:tcPr>
            <w:tcW w:type="dxa" w:w="3120"/>
            <w:shd w:val="clear" w:color="auto" w:fill="1F4E79"/>
            <w:tcMar>
              <w:top w:w="100" w:type="dxa"/>
              <w:bottom w:w="100" w:type="dxa"/>
              <w:left w:w="150" w:type="dxa"/>
              <w:right w:w="150" w:type="dxa"/>
            </w:tcMar>
          </w:tcPr>
          <w:p>
            <w:r>
              <w:rPr>
                <w:b/>
                <w:color w:val="FFFFFF"/>
              </w:rPr>
              <w:t>Nom de la Variable</w:t>
            </w:r>
          </w:p>
        </w:tc>
        <w:tc>
          <w:tcPr>
            <w:tcW w:type="dxa" w:w="3120"/>
            <w:shd w:val="clear" w:color="auto" w:fill="1F4E79"/>
            <w:tcMar>
              <w:top w:w="100" w:type="dxa"/>
              <w:bottom w:w="100" w:type="dxa"/>
              <w:left w:w="150" w:type="dxa"/>
              <w:right w:w="150" w:type="dxa"/>
            </w:tcMar>
          </w:tcPr>
          <w:p>
            <w:r>
              <w:rPr>
                <w:b/>
                <w:color w:val="FFFFFF"/>
              </w:rPr>
              <w:t>Type</w:t>
            </w:r>
          </w:p>
        </w:tc>
        <w:tc>
          <w:tcPr>
            <w:tcW w:type="dxa" w:w="3120"/>
            <w:shd w:val="clear" w:color="auto" w:fill="1F4E79"/>
            <w:tcMar>
              <w:top w:w="100" w:type="dxa"/>
              <w:bottom w:w="100" w:type="dxa"/>
              <w:left w:w="150" w:type="dxa"/>
              <w:right w:w="150" w:type="dxa"/>
            </w:tcMar>
          </w:tcPr>
          <w:p>
            <w:r>
              <w:rPr>
                <w:b/>
                <w:color w:val="FFFFFF"/>
              </w:rPr>
              <w:t>Description Exemple</w:t>
            </w:r>
          </w:p>
        </w:tc>
      </w:tr>
      <w:tr>
        <w:tc>
          <w:tcPr>
            <w:tcW w:type="dxa" w:w="3120"/>
            <w:tcMar>
              <w:top w:w="100" w:type="dxa"/>
              <w:bottom w:w="100" w:type="dxa"/>
              <w:left w:w="150" w:type="dxa"/>
              <w:right w:w="150" w:type="dxa"/>
            </w:tcMar>
          </w:tcPr>
          <w:p>
            <w:r>
              <w:t>ID</w:t>
            </w:r>
          </w:p>
        </w:tc>
        <w:tc>
          <w:tcPr>
            <w:tcW w:type="dxa" w:w="3120"/>
            <w:tcMar>
              <w:top w:w="100" w:type="dxa"/>
              <w:bottom w:w="100" w:type="dxa"/>
              <w:left w:w="150" w:type="dxa"/>
              <w:right w:w="150" w:type="dxa"/>
            </w:tcMar>
          </w:tcPr>
          <w:p>
            <w:r>
              <w:t>Numérique</w:t>
            </w:r>
          </w:p>
        </w:tc>
        <w:tc>
          <w:tcPr>
            <w:tcW w:type="dxa" w:w="3120"/>
            <w:tcMar>
              <w:top w:w="100" w:type="dxa"/>
              <w:bottom w:w="100" w:type="dxa"/>
              <w:left w:w="150" w:type="dxa"/>
              <w:right w:w="150" w:type="dxa"/>
            </w:tcMar>
          </w:tcPr>
          <w:p>
            <w:r>
              <w:t>Identifiant unique du client</w:t>
            </w:r>
          </w:p>
        </w:tc>
      </w:tr>
      <w:tr>
        <w:tc>
          <w:tcPr>
            <w:tcW w:type="dxa" w:w="3120"/>
            <w:tcMar>
              <w:top w:w="100" w:type="dxa"/>
              <w:bottom w:w="100" w:type="dxa"/>
              <w:left w:w="150" w:type="dxa"/>
              <w:right w:w="150" w:type="dxa"/>
            </w:tcMar>
          </w:tcPr>
          <w:p>
            <w:r>
              <w:t>Year_Birth</w:t>
            </w:r>
          </w:p>
        </w:tc>
        <w:tc>
          <w:tcPr>
            <w:tcW w:type="dxa" w:w="3120"/>
            <w:tcMar>
              <w:top w:w="100" w:type="dxa"/>
              <w:bottom w:w="100" w:type="dxa"/>
              <w:left w:w="150" w:type="dxa"/>
              <w:right w:w="150" w:type="dxa"/>
            </w:tcMar>
          </w:tcPr>
          <w:p>
            <w:r>
              <w:t>Numérique</w:t>
            </w:r>
          </w:p>
        </w:tc>
        <w:tc>
          <w:tcPr>
            <w:tcW w:type="dxa" w:w="3120"/>
            <w:tcMar>
              <w:top w:w="100" w:type="dxa"/>
              <w:bottom w:w="100" w:type="dxa"/>
              <w:left w:w="150" w:type="dxa"/>
              <w:right w:w="150" w:type="dxa"/>
            </w:tcMar>
          </w:tcPr>
          <w:p>
            <w:r>
              <w:t>Année de naissance</w:t>
            </w:r>
          </w:p>
        </w:tc>
      </w:tr>
      <w:tr>
        <w:tc>
          <w:tcPr>
            <w:tcW w:type="dxa" w:w="3120"/>
            <w:tcMar>
              <w:top w:w="100" w:type="dxa"/>
              <w:bottom w:w="100" w:type="dxa"/>
              <w:left w:w="150" w:type="dxa"/>
              <w:right w:w="150" w:type="dxa"/>
            </w:tcMar>
          </w:tcPr>
          <w:p>
            <w:r>
              <w:t>Education</w:t>
            </w:r>
          </w:p>
        </w:tc>
        <w:tc>
          <w:tcPr>
            <w:tcW w:type="dxa" w:w="3120"/>
            <w:tcMar>
              <w:top w:w="100" w:type="dxa"/>
              <w:bottom w:w="100" w:type="dxa"/>
              <w:left w:w="150" w:type="dxa"/>
              <w:right w:w="150" w:type="dxa"/>
            </w:tcMar>
          </w:tcPr>
          <w:p>
            <w:r>
              <w:t>Catégoriel</w:t>
            </w:r>
          </w:p>
        </w:tc>
        <w:tc>
          <w:tcPr>
            <w:tcW w:type="dxa" w:w="3120"/>
            <w:tcMar>
              <w:top w:w="100" w:type="dxa"/>
              <w:bottom w:w="100" w:type="dxa"/>
              <w:left w:w="150" w:type="dxa"/>
              <w:right w:w="150" w:type="dxa"/>
            </w:tcMar>
          </w:tcPr>
          <w:p>
            <w:r>
              <w:t>Niveau d'études (Graduation, PhD, etc.)</w:t>
            </w:r>
          </w:p>
        </w:tc>
      </w:tr>
      <w:tr>
        <w:tc>
          <w:tcPr>
            <w:tcW w:type="dxa" w:w="3120"/>
            <w:tcMar>
              <w:top w:w="100" w:type="dxa"/>
              <w:bottom w:w="100" w:type="dxa"/>
              <w:left w:w="150" w:type="dxa"/>
              <w:right w:w="150" w:type="dxa"/>
            </w:tcMar>
          </w:tcPr>
          <w:p>
            <w:r>
              <w:t>Income</w:t>
            </w:r>
          </w:p>
        </w:tc>
        <w:tc>
          <w:tcPr>
            <w:tcW w:type="dxa" w:w="3120"/>
            <w:tcMar>
              <w:top w:w="100" w:type="dxa"/>
              <w:bottom w:w="100" w:type="dxa"/>
              <w:left w:w="150" w:type="dxa"/>
              <w:right w:w="150" w:type="dxa"/>
            </w:tcMar>
          </w:tcPr>
          <w:p>
            <w:r>
              <w:t>Numérique</w:t>
            </w:r>
          </w:p>
        </w:tc>
        <w:tc>
          <w:tcPr>
            <w:tcW w:type="dxa" w:w="3120"/>
            <w:tcMar>
              <w:top w:w="100" w:type="dxa"/>
              <w:bottom w:w="100" w:type="dxa"/>
              <w:left w:w="150" w:type="dxa"/>
              <w:right w:w="150" w:type="dxa"/>
            </w:tcMar>
          </w:tcPr>
          <w:p>
            <w:r>
              <w:t>Revenu annuel brut du ménage</w:t>
            </w:r>
          </w:p>
        </w:tc>
      </w:tr>
      <w:tr>
        <w:tc>
          <w:tcPr>
            <w:tcW w:type="dxa" w:w="3120"/>
            <w:tcMar>
              <w:top w:w="100" w:type="dxa"/>
              <w:bottom w:w="100" w:type="dxa"/>
              <w:left w:w="150" w:type="dxa"/>
              <w:right w:w="150" w:type="dxa"/>
            </w:tcMar>
          </w:tcPr>
          <w:p>
            <w:r>
              <w:t>MntWines</w:t>
            </w:r>
          </w:p>
        </w:tc>
        <w:tc>
          <w:tcPr>
            <w:tcW w:type="dxa" w:w="3120"/>
            <w:tcMar>
              <w:top w:w="100" w:type="dxa"/>
              <w:bottom w:w="100" w:type="dxa"/>
              <w:left w:w="150" w:type="dxa"/>
              <w:right w:w="150" w:type="dxa"/>
            </w:tcMar>
          </w:tcPr>
          <w:p>
            <w:r>
              <w:t>Numérique</w:t>
            </w:r>
          </w:p>
        </w:tc>
        <w:tc>
          <w:tcPr>
            <w:tcW w:type="dxa" w:w="3120"/>
            <w:tcMar>
              <w:top w:w="100" w:type="dxa"/>
              <w:bottom w:w="100" w:type="dxa"/>
              <w:left w:w="150" w:type="dxa"/>
              <w:right w:w="150" w:type="dxa"/>
            </w:tcMar>
          </w:tcPr>
          <w:p>
            <w:r>
              <w:t>Montant dépensé en vin sur 2 ans</w:t>
            </w:r>
          </w:p>
        </w:tc>
      </w:tr>
      <w:tr>
        <w:tc>
          <w:tcPr>
            <w:tcW w:type="dxa" w:w="3120"/>
            <w:tcMar>
              <w:top w:w="100" w:type="dxa"/>
              <w:bottom w:w="100" w:type="dxa"/>
              <w:left w:w="150" w:type="dxa"/>
              <w:right w:w="150" w:type="dxa"/>
            </w:tcMar>
          </w:tcPr>
          <w:p>
            <w:r>
              <w:t>NumWebPurchases</w:t>
            </w:r>
          </w:p>
        </w:tc>
        <w:tc>
          <w:tcPr>
            <w:tcW w:type="dxa" w:w="3120"/>
            <w:tcMar>
              <w:top w:w="100" w:type="dxa"/>
              <w:bottom w:w="100" w:type="dxa"/>
              <w:left w:w="150" w:type="dxa"/>
              <w:right w:w="150" w:type="dxa"/>
            </w:tcMar>
          </w:tcPr>
          <w:p>
            <w:r>
              <w:t>Numérique</w:t>
            </w:r>
          </w:p>
        </w:tc>
        <w:tc>
          <w:tcPr>
            <w:tcW w:type="dxa" w:w="3120"/>
            <w:tcMar>
              <w:top w:w="100" w:type="dxa"/>
              <w:bottom w:w="100" w:type="dxa"/>
              <w:left w:w="150" w:type="dxa"/>
              <w:right w:w="150" w:type="dxa"/>
            </w:tcMar>
          </w:tcPr>
          <w:p>
            <w:r>
              <w:t>Nombre d'achats effectués via le site web</w:t>
            </w:r>
          </w:p>
        </w:tc>
      </w:tr>
    </w:tbl>
    <w:p>
      <w:pPr>
        <w:keepNext/>
        <w:spacing w:before="280" w:after="120"/>
      </w:pPr>
      <w:r>
        <w:rPr>
          <w:rFonts w:ascii="Arial" w:hAnsi="Arial"/>
          <w:b/>
          <w:i w:val="0"/>
          <w:color w:val="1F4E79"/>
          <w:sz w:val="32"/>
        </w:rPr>
        <w:t>3. Préparation et nettoyage des données</w:t>
      </w:r>
    </w:p>
    <w:p>
      <w:pPr>
        <w:keepNext/>
        <w:spacing w:before="280" w:after="120"/>
      </w:pPr>
      <w:r>
        <w:rPr>
          <w:rFonts w:ascii="Arial" w:hAnsi="Arial"/>
          <w:b/>
          <w:i w:val="0"/>
          <w:color w:val="5B9BD5"/>
          <w:sz w:val="26"/>
        </w:rPr>
        <w:t>3.1 Vérification des valeurs manquantes</w:t>
      </w:r>
    </w:p>
    <w:p>
      <w:r>
        <w:t>L'analyse montre que seules quelques lignes comportent des valeurs manquantes, localisées exclusivement sur la variable Income. Compte tenu de son rôle crucial, ces observations ont été exclues.</w:t>
      </w:r>
    </w:p>
    <w:p>
      <w:pPr>
        <w:keepNext/>
        <w:spacing w:before="280" w:after="120"/>
      </w:pPr>
      <w:r>
        <w:rPr>
          <w:rFonts w:ascii="Arial" w:hAnsi="Arial"/>
          <w:b/>
          <w:i w:val="0"/>
          <w:color w:val="5B9BD5"/>
          <w:sz w:val="26"/>
        </w:rPr>
        <w:t>3.2 Construction de nouvelles variables</w:t>
      </w:r>
    </w:p>
    <w:p>
      <w:r>
        <w:t>Afin d’enrichir l’analyse, plusieurs variables synthétiques ont été créées :</w:t>
      </w:r>
    </w:p>
    <w:p>
      <w:pPr>
        <w:pStyle w:val="ListBullet"/>
      </w:pPr>
      <w:r>
        <w:rPr>
          <w:b/>
        </w:rPr>
        <w:t xml:space="preserve">Age : </w:t>
      </w:r>
      <w:r>
        <w:t>Calculé par l'année courante moins l'année de naissance.</w:t>
      </w:r>
    </w:p>
    <w:p>
      <w:pPr>
        <w:pStyle w:val="ListBullet"/>
      </w:pPr>
      <w:r>
        <w:rPr>
          <w:b/>
        </w:rPr>
        <w:t xml:space="preserve">Enfants : </w:t>
      </w:r>
      <w:r>
        <w:t>Somme des enfants et adolescents au foyer (Kidhome + Teenhome).</w:t>
      </w:r>
    </w:p>
    <w:p>
      <w:pPr>
        <w:pStyle w:val="ListBullet"/>
      </w:pPr>
      <w:r>
        <w:rPr>
          <w:b/>
        </w:rPr>
        <w:t xml:space="preserve">Depenses_total : </w:t>
      </w:r>
      <w:r>
        <w:t>Cumul des dépenses sur l'ensemble des catégories de produits.</w:t>
      </w:r>
    </w:p>
    <w:p>
      <w:pPr>
        <w:pStyle w:val="ListBullet"/>
      </w:pPr>
      <w:r>
        <w:rPr>
          <w:b/>
        </w:rPr>
        <w:t xml:space="preserve">Achats_total : </w:t>
      </w:r>
      <w:r>
        <w:t>Total des achats réalisés sur les différents canaux (Web, Magasin, Catalogue).</w:t>
      </w:r>
    </w:p>
    <w:p>
      <w:pPr>
        <w:pStyle w:val="ListBullet"/>
      </w:pPr>
      <w:r>
        <w:rPr>
          <w:b/>
        </w:rPr>
        <w:t xml:space="preserve">Accepte_campagnes : </w:t>
      </w:r>
      <w:r>
        <w:t>Nombre total de campagnes marketing acceptées par le client.</w:t>
      </w:r>
    </w:p>
    <w:p>
      <w:pPr>
        <w:keepNext/>
        <w:spacing w:before="280" w:after="120"/>
      </w:pPr>
      <w:r>
        <w:rPr>
          <w:rFonts w:ascii="Arial" w:hAnsi="Arial"/>
          <w:b/>
          <w:i w:val="0"/>
          <w:color w:val="5B9BD5"/>
          <w:sz w:val="26"/>
        </w:rPr>
        <w:t>3.3 Dimensions après nettoyage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4680"/>
        <w:gridCol w:w="4680"/>
      </w:tblGrid>
      <w:tr>
        <w:tc>
          <w:tcPr>
            <w:tcW w:type="dxa" w:w="4680"/>
            <w:shd w:val="clear" w:color="auto" w:fill="1F4E79"/>
            <w:tcMar>
              <w:top w:w="100" w:type="dxa"/>
              <w:bottom w:w="100" w:type="dxa"/>
              <w:left w:w="150" w:type="dxa"/>
              <w:right w:w="150" w:type="dxa"/>
            </w:tcMar>
          </w:tcPr>
          <w:p>
            <w:r>
              <w:rPr>
                <w:b/>
                <w:color w:val="FFFFFF"/>
              </w:rPr>
              <w:t>Indicateur</w:t>
            </w:r>
          </w:p>
        </w:tc>
        <w:tc>
          <w:tcPr>
            <w:tcW w:type="dxa" w:w="4680"/>
            <w:shd w:val="clear" w:color="auto" w:fill="1F4E79"/>
            <w:tcMar>
              <w:top w:w="100" w:type="dxa"/>
              <w:bottom w:w="100" w:type="dxa"/>
              <w:left w:w="150" w:type="dxa"/>
              <w:right w:w="150" w:type="dxa"/>
            </w:tcMar>
          </w:tcPr>
          <w:p>
            <w:r>
              <w:rPr>
                <w:b/>
                <w:color w:val="FFFFFF"/>
              </w:rPr>
              <w:t>Valeur</w:t>
            </w:r>
          </w:p>
        </w:tc>
      </w:tr>
      <w:tr>
        <w:tc>
          <w:tcPr>
            <w:tcW w:type="dxa" w:w="4680"/>
            <w:tcMar>
              <w:top w:w="100" w:type="dxa"/>
              <w:bottom w:w="100" w:type="dxa"/>
              <w:left w:w="150" w:type="dxa"/>
              <w:right w:w="150" w:type="dxa"/>
            </w:tcMar>
          </w:tcPr>
          <w:p>
            <w:r>
              <w:t>Nombre final d'observations</w:t>
            </w:r>
          </w:p>
        </w:tc>
        <w:tc>
          <w:tcPr>
            <w:tcW w:type="dxa" w:w="4680"/>
            <w:tcMar>
              <w:top w:w="100" w:type="dxa"/>
              <w:bottom w:w="100" w:type="dxa"/>
              <w:left w:w="150" w:type="dxa"/>
              <w:right w:w="150" w:type="dxa"/>
            </w:tcMar>
          </w:tcPr>
          <w:p>
            <w:r>
              <w:t>2212</w:t>
            </w:r>
          </w:p>
        </w:tc>
      </w:tr>
    </w:tbl>
    <w:p>
      <w:pPr>
        <w:keepNext/>
        <w:spacing w:before="280" w:after="120"/>
      </w:pPr>
      <w:r>
        <w:rPr>
          <w:rFonts w:ascii="Arial" w:hAnsi="Arial"/>
          <w:b/>
          <w:i w:val="0"/>
          <w:color w:val="5B9BD5"/>
          <w:sz w:val="26"/>
        </w:rPr>
        <w:t>3.4 Contrôle des valeurs extrêmes</w:t>
      </w:r>
    </w:p>
    <w:p>
      <w:r>
        <w:t>Les boxplots ci-dessous confirment le nettoyage des profils aberrants (ex: individus de plus de 100 ans ou revenus disproportionnés).</w:t>
      </w:r>
    </w:p>
    <w:p>
      <w:pPr>
        <w:jc w:val="center"/>
      </w:pPr>
      <w:r>
        <w:drawing>
          <wp:inline xmlns:a="http://schemas.openxmlformats.org/drawingml/2006/main" xmlns:pic="http://schemas.openxmlformats.org/drawingml/2006/picture">
            <wp:extent cx="5029200" cy="20116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011680"/>
                    </a:xfrm>
                    <a:prstGeom prst="rect"/>
                  </pic:spPr>
                </pic:pic>
              </a:graphicData>
            </a:graphic>
          </wp:inline>
        </w:drawing>
      </w:r>
    </w:p>
    <w:p>
      <w:pPr>
        <w:keepNext/>
        <w:spacing w:before="280" w:after="120"/>
      </w:pPr>
      <w:r>
        <w:rPr>
          <w:rFonts w:ascii="Arial" w:hAnsi="Arial"/>
          <w:b/>
          <w:i w:val="0"/>
          <w:color w:val="1F4E79"/>
          <w:sz w:val="32"/>
        </w:rPr>
        <w:t>4. Analyse en Composantes Principales (ACP)</w:t>
      </w:r>
    </w:p>
    <w:p>
      <w:r>
        <w:t>L’ACP est parfaitement adaptée car notre problématique implique 14 variables quantitatives potentiellement corrélées. Elle permet de résumer l’information en quelques axes majeurs.</w:t>
      </w:r>
    </w:p>
    <w:p>
      <w:pPr>
        <w:keepNext/>
        <w:spacing w:before="280" w:after="120"/>
      </w:pPr>
      <w:r>
        <w:rPr>
          <w:rFonts w:ascii="Arial" w:hAnsi="Arial"/>
          <w:b/>
          <w:i w:val="0"/>
          <w:color w:val="5B9BD5"/>
          <w:sz w:val="26"/>
        </w:rPr>
        <w:t>4.1 Variance expliquée</w:t>
      </w:r>
    </w:p>
    <w:p>
      <w:pPr>
        <w:jc w:val="center"/>
      </w:pPr>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2286000"/>
                    </a:xfrm>
                    <a:prstGeom prst="rect"/>
                  </pic:spPr>
                </pic:pic>
              </a:graphicData>
            </a:graphic>
          </wp:inline>
        </w:drawing>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20"/>
        <w:gridCol w:w="3120"/>
        <w:gridCol w:w="3120"/>
      </w:tblGrid>
      <w:tr>
        <w:tc>
          <w:tcPr>
            <w:tcW w:type="dxa" w:w="3120"/>
            <w:shd w:val="clear" w:color="auto" w:fill="1F4E79"/>
            <w:tcMar>
              <w:top w:w="100" w:type="dxa"/>
              <w:bottom w:w="100" w:type="dxa"/>
              <w:left w:w="150" w:type="dxa"/>
              <w:right w:w="150" w:type="dxa"/>
            </w:tcMar>
          </w:tcPr>
          <w:p>
            <w:r>
              <w:rPr>
                <w:b/>
                <w:color w:val="FFFFFF"/>
              </w:rPr>
              <w:t>Axe</w:t>
            </w:r>
          </w:p>
        </w:tc>
        <w:tc>
          <w:tcPr>
            <w:tcW w:type="dxa" w:w="3120"/>
            <w:shd w:val="clear" w:color="auto" w:fill="1F4E79"/>
            <w:tcMar>
              <w:top w:w="100" w:type="dxa"/>
              <w:bottom w:w="100" w:type="dxa"/>
              <w:left w:w="150" w:type="dxa"/>
              <w:right w:w="150" w:type="dxa"/>
            </w:tcMar>
          </w:tcPr>
          <w:p>
            <w:r>
              <w:rPr>
                <w:b/>
                <w:color w:val="FFFFFF"/>
              </w:rPr>
              <w:t>Variance expliquée (%)</w:t>
            </w:r>
          </w:p>
        </w:tc>
        <w:tc>
          <w:tcPr>
            <w:tcW w:type="dxa" w:w="3120"/>
            <w:shd w:val="clear" w:color="auto" w:fill="1F4E79"/>
            <w:tcMar>
              <w:top w:w="100" w:type="dxa"/>
              <w:bottom w:w="100" w:type="dxa"/>
              <w:left w:w="150" w:type="dxa"/>
              <w:right w:w="150" w:type="dxa"/>
            </w:tcMar>
          </w:tcPr>
          <w:p>
            <w:r>
              <w:rPr>
                <w:b/>
                <w:color w:val="FFFFFF"/>
              </w:rPr>
              <w:t>Cumul (%)</w:t>
            </w:r>
          </w:p>
        </w:tc>
      </w:tr>
      <w:tr>
        <w:tc>
          <w:tcPr>
            <w:tcW w:type="dxa" w:w="3120"/>
            <w:tcMar>
              <w:top w:w="100" w:type="dxa"/>
              <w:bottom w:w="100" w:type="dxa"/>
              <w:left w:w="150" w:type="dxa"/>
              <w:right w:w="150" w:type="dxa"/>
            </w:tcMar>
          </w:tcPr>
          <w:p>
            <w:r>
              <w:t>Axe 1</w:t>
            </w:r>
          </w:p>
        </w:tc>
        <w:tc>
          <w:tcPr>
            <w:tcW w:type="dxa" w:w="3120"/>
            <w:tcMar>
              <w:top w:w="100" w:type="dxa"/>
              <w:bottom w:w="100" w:type="dxa"/>
              <w:left w:w="150" w:type="dxa"/>
              <w:right w:w="150" w:type="dxa"/>
            </w:tcMar>
          </w:tcPr>
          <w:p>
            <w:r>
              <w:t>41.79%</w:t>
            </w:r>
          </w:p>
        </w:tc>
        <w:tc>
          <w:tcPr>
            <w:tcW w:type="dxa" w:w="3120"/>
            <w:tcMar>
              <w:top w:w="100" w:type="dxa"/>
              <w:bottom w:w="100" w:type="dxa"/>
              <w:left w:w="150" w:type="dxa"/>
              <w:right w:w="150" w:type="dxa"/>
            </w:tcMar>
          </w:tcPr>
          <w:p>
            <w:r>
              <w:t>41.79%</w:t>
            </w:r>
          </w:p>
        </w:tc>
      </w:tr>
      <w:tr>
        <w:tc>
          <w:tcPr>
            <w:tcW w:type="dxa" w:w="3120"/>
            <w:tcMar>
              <w:top w:w="100" w:type="dxa"/>
              <w:bottom w:w="100" w:type="dxa"/>
              <w:left w:w="150" w:type="dxa"/>
              <w:right w:w="150" w:type="dxa"/>
            </w:tcMar>
          </w:tcPr>
          <w:p>
            <w:r>
              <w:t>Axe 2</w:t>
            </w:r>
          </w:p>
        </w:tc>
        <w:tc>
          <w:tcPr>
            <w:tcW w:type="dxa" w:w="3120"/>
            <w:tcMar>
              <w:top w:w="100" w:type="dxa"/>
              <w:bottom w:w="100" w:type="dxa"/>
              <w:left w:w="150" w:type="dxa"/>
              <w:right w:w="150" w:type="dxa"/>
            </w:tcMar>
          </w:tcPr>
          <w:p>
            <w:r>
              <w:t>11.32%</w:t>
            </w:r>
          </w:p>
        </w:tc>
        <w:tc>
          <w:tcPr>
            <w:tcW w:type="dxa" w:w="3120"/>
            <w:tcMar>
              <w:top w:w="100" w:type="dxa"/>
              <w:bottom w:w="100" w:type="dxa"/>
              <w:left w:w="150" w:type="dxa"/>
              <w:right w:w="150" w:type="dxa"/>
            </w:tcMar>
          </w:tcPr>
          <w:p>
            <w:r>
              <w:t>53.11%</w:t>
            </w:r>
          </w:p>
        </w:tc>
      </w:tr>
      <w:tr>
        <w:tc>
          <w:tcPr>
            <w:tcW w:type="dxa" w:w="3120"/>
            <w:tcMar>
              <w:top w:w="100" w:type="dxa"/>
              <w:bottom w:w="100" w:type="dxa"/>
              <w:left w:w="150" w:type="dxa"/>
              <w:right w:w="150" w:type="dxa"/>
            </w:tcMar>
          </w:tcPr>
          <w:p>
            <w:r>
              <w:t>Axe 3</w:t>
            </w:r>
          </w:p>
        </w:tc>
        <w:tc>
          <w:tcPr>
            <w:tcW w:type="dxa" w:w="3120"/>
            <w:tcMar>
              <w:top w:w="100" w:type="dxa"/>
              <w:bottom w:w="100" w:type="dxa"/>
              <w:left w:w="150" w:type="dxa"/>
              <w:right w:w="150" w:type="dxa"/>
            </w:tcMar>
          </w:tcPr>
          <w:p>
            <w:r>
              <w:t>7.70%</w:t>
            </w:r>
          </w:p>
        </w:tc>
        <w:tc>
          <w:tcPr>
            <w:tcW w:type="dxa" w:w="3120"/>
            <w:tcMar>
              <w:top w:w="100" w:type="dxa"/>
              <w:bottom w:w="100" w:type="dxa"/>
              <w:left w:w="150" w:type="dxa"/>
              <w:right w:w="150" w:type="dxa"/>
            </w:tcMar>
          </w:tcPr>
          <w:p>
            <w:r>
              <w:t>60.81%</w:t>
            </w:r>
          </w:p>
        </w:tc>
      </w:tr>
    </w:tbl>
    <w:p>
      <w:pPr>
        <w:keepNext/>
        <w:spacing w:before="280" w:after="120"/>
      </w:pPr>
      <w:r>
        <w:rPr>
          <w:rFonts w:ascii="Arial" w:hAnsi="Arial"/>
          <w:b/>
          <w:i w:val="0"/>
          <w:color w:val="5B9BD5"/>
          <w:sz w:val="26"/>
        </w:rPr>
        <w:t>4.2 Cercle des corrélations</w:t>
      </w:r>
    </w:p>
    <w:p>
      <w:pPr>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114800"/>
                    </a:xfrm>
                    <a:prstGeom prst="rect"/>
                  </pic:spPr>
                </pic:pic>
              </a:graphicData>
            </a:graphic>
          </wp:inline>
        </w:drawing>
      </w:r>
    </w:p>
    <w:p>
      <w:r>
        <w:t>L'interprétation des axes révèle que l'Axe 1 oppose les clients à fort pouvoir d'achat et fortes dépenses aux clients plus modestes. L'Axe 2 structure l'utilisation des canaux (Web vs Magasin).</w:t>
      </w:r>
    </w:p>
    <w:p>
      <w:pPr>
        <w:keepNext/>
        <w:spacing w:before="280" w:after="120"/>
      </w:pPr>
      <w:r>
        <w:rPr>
          <w:rFonts w:ascii="Arial" w:hAnsi="Arial"/>
          <w:b/>
          <w:i w:val="0"/>
          <w:color w:val="1F4E79"/>
          <w:sz w:val="32"/>
        </w:rPr>
        <w:t>5. Classification par K-means</w:t>
      </w:r>
    </w:p>
    <w:p>
      <w:r>
        <w:t>Pour éliminer le bruit et stabiliser la classification, nous appliquons l'algorithme K-means sur les coordonnées des 3 premiers axes factoriels issus de l'ACP.</w:t>
      </w:r>
    </w:p>
    <w:p>
      <w:pPr>
        <w:keepNext/>
        <w:spacing w:before="280" w:after="120"/>
      </w:pPr>
      <w:r>
        <w:rPr>
          <w:rFonts w:ascii="Arial" w:hAnsi="Arial"/>
          <w:b/>
          <w:i w:val="0"/>
          <w:color w:val="5B9BD5"/>
          <w:sz w:val="26"/>
        </w:rPr>
        <w:t>5.1 Détermination du nombre de clusters</w:t>
      </w:r>
    </w:p>
    <w:p>
      <w:r>
        <w:t>Les critères Elbow (coude) et de Silhouette convergent vers une solution optimale à 4 clusters, garantissant une bonne homogénéité interne et une nette distinction externe.</w:t>
      </w:r>
    </w:p>
    <w:p>
      <w:pPr>
        <w:keepNext/>
        <w:spacing w:before="280" w:after="120"/>
      </w:pPr>
      <w:r>
        <w:rPr>
          <w:rFonts w:ascii="Arial" w:hAnsi="Arial"/>
          <w:b/>
          <w:i w:val="0"/>
          <w:color w:val="5B9BD5"/>
          <w:sz w:val="26"/>
        </w:rPr>
        <w:t>5.2 Répartition des effectifs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4680"/>
        <w:gridCol w:w="4680"/>
      </w:tblGrid>
      <w:tr>
        <w:tc>
          <w:tcPr>
            <w:tcW w:type="dxa" w:w="4680"/>
            <w:shd w:val="clear" w:color="auto" w:fill="1F4E79"/>
            <w:tcMar>
              <w:top w:w="100" w:type="dxa"/>
              <w:bottom w:w="100" w:type="dxa"/>
              <w:left w:w="150" w:type="dxa"/>
              <w:right w:w="150" w:type="dxa"/>
            </w:tcMar>
          </w:tcPr>
          <w:p>
            <w:r>
              <w:rPr>
                <w:b/>
                <w:color w:val="FFFFFF"/>
              </w:rPr>
              <w:t>Cluster</w:t>
            </w:r>
          </w:p>
        </w:tc>
        <w:tc>
          <w:tcPr>
            <w:tcW w:type="dxa" w:w="4680"/>
            <w:shd w:val="clear" w:color="auto" w:fill="1F4E79"/>
            <w:tcMar>
              <w:top w:w="100" w:type="dxa"/>
              <w:bottom w:w="100" w:type="dxa"/>
              <w:left w:w="150" w:type="dxa"/>
              <w:right w:w="150" w:type="dxa"/>
            </w:tcMar>
          </w:tcPr>
          <w:p>
            <w:r>
              <w:rPr>
                <w:b/>
                <w:color w:val="FFFFFF"/>
              </w:rPr>
              <w:t>Effectif (Nombre de clients)</w:t>
            </w:r>
          </w:p>
        </w:tc>
      </w:tr>
      <w:tr>
        <w:tc>
          <w:tcPr>
            <w:tcW w:type="dxa" w:w="4680"/>
            <w:tcMar>
              <w:top w:w="100" w:type="dxa"/>
              <w:bottom w:w="100" w:type="dxa"/>
              <w:left w:w="150" w:type="dxa"/>
              <w:right w:w="150" w:type="dxa"/>
            </w:tcMar>
          </w:tcPr>
          <w:p>
            <w:r>
              <w:t>Segment 1</w:t>
            </w:r>
          </w:p>
        </w:tc>
        <w:tc>
          <w:tcPr>
            <w:tcW w:type="dxa" w:w="4680"/>
            <w:tcMar>
              <w:top w:w="100" w:type="dxa"/>
              <w:bottom w:w="100" w:type="dxa"/>
              <w:left w:w="150" w:type="dxa"/>
              <w:right w:w="150" w:type="dxa"/>
            </w:tcMar>
          </w:tcPr>
          <w:p>
            <w:r>
              <w:t>450</w:t>
            </w:r>
          </w:p>
        </w:tc>
      </w:tr>
      <w:tr>
        <w:tc>
          <w:tcPr>
            <w:tcW w:type="dxa" w:w="4680"/>
            <w:tcMar>
              <w:top w:w="100" w:type="dxa"/>
              <w:bottom w:w="100" w:type="dxa"/>
              <w:left w:w="150" w:type="dxa"/>
              <w:right w:w="150" w:type="dxa"/>
            </w:tcMar>
          </w:tcPr>
          <w:p>
            <w:r>
              <w:t>Segment 2</w:t>
            </w:r>
          </w:p>
        </w:tc>
        <w:tc>
          <w:tcPr>
            <w:tcW w:type="dxa" w:w="4680"/>
            <w:tcMar>
              <w:top w:w="100" w:type="dxa"/>
              <w:bottom w:w="100" w:type="dxa"/>
              <w:left w:w="150" w:type="dxa"/>
              <w:right w:w="150" w:type="dxa"/>
            </w:tcMar>
          </w:tcPr>
          <w:p>
            <w:r>
              <w:t>311</w:t>
            </w:r>
          </w:p>
        </w:tc>
      </w:tr>
      <w:tr>
        <w:tc>
          <w:tcPr>
            <w:tcW w:type="dxa" w:w="4680"/>
            <w:tcMar>
              <w:top w:w="100" w:type="dxa"/>
              <w:bottom w:w="100" w:type="dxa"/>
              <w:left w:w="150" w:type="dxa"/>
              <w:right w:w="150" w:type="dxa"/>
            </w:tcMar>
          </w:tcPr>
          <w:p>
            <w:r>
              <w:t>Segment 3</w:t>
            </w:r>
          </w:p>
        </w:tc>
        <w:tc>
          <w:tcPr>
            <w:tcW w:type="dxa" w:w="4680"/>
            <w:tcMar>
              <w:top w:w="100" w:type="dxa"/>
              <w:bottom w:w="100" w:type="dxa"/>
              <w:left w:w="150" w:type="dxa"/>
              <w:right w:w="150" w:type="dxa"/>
            </w:tcMar>
          </w:tcPr>
          <w:p>
            <w:r>
              <w:t>996</w:t>
            </w:r>
          </w:p>
        </w:tc>
      </w:tr>
      <w:tr>
        <w:tc>
          <w:tcPr>
            <w:tcW w:type="dxa" w:w="4680"/>
            <w:tcMar>
              <w:top w:w="100" w:type="dxa"/>
              <w:bottom w:w="100" w:type="dxa"/>
              <w:left w:w="150" w:type="dxa"/>
              <w:right w:w="150" w:type="dxa"/>
            </w:tcMar>
          </w:tcPr>
          <w:p>
            <w:r>
              <w:t>Segment 4</w:t>
            </w:r>
          </w:p>
        </w:tc>
        <w:tc>
          <w:tcPr>
            <w:tcW w:type="dxa" w:w="4680"/>
            <w:tcMar>
              <w:top w:w="100" w:type="dxa"/>
              <w:bottom w:w="100" w:type="dxa"/>
              <w:left w:w="150" w:type="dxa"/>
              <w:right w:w="150" w:type="dxa"/>
            </w:tcMar>
          </w:tcPr>
          <w:p>
            <w:r>
              <w:t>455</w:t>
            </w:r>
          </w:p>
        </w:tc>
      </w:tr>
    </w:tbl>
    <w:p>
      <w:pPr>
        <w:keepNext/>
        <w:spacing w:before="280" w:after="120"/>
      </w:pPr>
      <w:r>
        <w:rPr>
          <w:rFonts w:ascii="Arial" w:hAnsi="Arial"/>
          <w:b/>
          <w:i w:val="0"/>
          <w:color w:val="1F4E79"/>
          <w:sz w:val="32"/>
        </w:rPr>
        <w:t>6. Profil et interprétation des clusters</w:t>
      </w:r>
    </w:p>
    <w:p>
      <w:pPr>
        <w:keepNext/>
        <w:spacing w:before="280" w:after="120"/>
      </w:pPr>
      <w:r>
        <w:rPr>
          <w:rFonts w:ascii="Arial" w:hAnsi="Arial"/>
          <w:b/>
          <w:i w:val="0"/>
          <w:color w:val="5B9BD5"/>
          <w:sz w:val="26"/>
        </w:rPr>
        <w:t>6.1 Caractéristiques moyennes globales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560"/>
        <w:gridCol w:w="1560"/>
        <w:gridCol w:w="1560"/>
        <w:gridCol w:w="1560"/>
        <w:gridCol w:w="1560"/>
        <w:gridCol w:w="1560"/>
      </w:tblGrid>
      <w:tr>
        <w:tc>
          <w:tcPr>
            <w:tcW w:type="dxa" w:w="1560"/>
            <w:shd w:val="clear" w:color="auto" w:fill="1F4E79"/>
            <w:tcMar>
              <w:top w:w="100" w:type="dxa"/>
              <w:bottom w:w="100" w:type="dxa"/>
              <w:left w:w="150" w:type="dxa"/>
              <w:right w:w="150" w:type="dxa"/>
            </w:tcMar>
          </w:tcPr>
          <w:p>
            <w:r>
              <w:rPr>
                <w:b/>
                <w:color w:val="FFFFFF"/>
              </w:rPr>
              <w:t>Cluster</w:t>
            </w:r>
          </w:p>
        </w:tc>
        <w:tc>
          <w:tcPr>
            <w:tcW w:type="dxa" w:w="1560"/>
            <w:shd w:val="clear" w:color="auto" w:fill="1F4E79"/>
            <w:tcMar>
              <w:top w:w="100" w:type="dxa"/>
              <w:bottom w:w="100" w:type="dxa"/>
              <w:left w:w="150" w:type="dxa"/>
              <w:right w:w="150" w:type="dxa"/>
            </w:tcMar>
          </w:tcPr>
          <w:p>
            <w:r>
              <w:rPr>
                <w:b/>
                <w:color w:val="FFFFFF"/>
              </w:rPr>
              <w:t>Revenu moyen (€)</w:t>
            </w:r>
          </w:p>
        </w:tc>
        <w:tc>
          <w:tcPr>
            <w:tcW w:type="dxa" w:w="1560"/>
            <w:shd w:val="clear" w:color="auto" w:fill="1F4E79"/>
            <w:tcMar>
              <w:top w:w="100" w:type="dxa"/>
              <w:bottom w:w="100" w:type="dxa"/>
              <w:left w:w="150" w:type="dxa"/>
              <w:right w:w="150" w:type="dxa"/>
            </w:tcMar>
          </w:tcPr>
          <w:p>
            <w:r>
              <w:rPr>
                <w:b/>
                <w:color w:val="FFFFFF"/>
              </w:rPr>
              <w:t>Âge moyen</w:t>
            </w:r>
          </w:p>
        </w:tc>
        <w:tc>
          <w:tcPr>
            <w:tcW w:type="dxa" w:w="1560"/>
            <w:shd w:val="clear" w:color="auto" w:fill="1F4E79"/>
            <w:tcMar>
              <w:top w:w="100" w:type="dxa"/>
              <w:bottom w:w="100" w:type="dxa"/>
              <w:left w:w="150" w:type="dxa"/>
              <w:right w:w="150" w:type="dxa"/>
            </w:tcMar>
          </w:tcPr>
          <w:p>
            <w:r>
              <w:rPr>
                <w:b/>
                <w:color w:val="FFFFFF"/>
              </w:rPr>
              <w:t>Dépenses tot. (€)</w:t>
            </w:r>
          </w:p>
        </w:tc>
        <w:tc>
          <w:tcPr>
            <w:tcW w:type="dxa" w:w="1560"/>
            <w:shd w:val="clear" w:color="auto" w:fill="1F4E79"/>
            <w:tcMar>
              <w:top w:w="100" w:type="dxa"/>
              <w:bottom w:w="100" w:type="dxa"/>
              <w:left w:w="150" w:type="dxa"/>
              <w:right w:w="150" w:type="dxa"/>
            </w:tcMar>
          </w:tcPr>
          <w:p>
            <w:r>
              <w:rPr>
                <w:b/>
                <w:color w:val="FFFFFF"/>
              </w:rPr>
              <w:t>Achats Web</w:t>
            </w:r>
          </w:p>
        </w:tc>
        <w:tc>
          <w:tcPr>
            <w:tcW w:type="dxa" w:w="1560"/>
            <w:shd w:val="clear" w:color="auto" w:fill="1F4E79"/>
            <w:tcMar>
              <w:top w:w="100" w:type="dxa"/>
              <w:bottom w:w="100" w:type="dxa"/>
              <w:left w:w="150" w:type="dxa"/>
              <w:right w:w="150" w:type="dxa"/>
            </w:tcMar>
          </w:tcPr>
          <w:p>
            <w:r>
              <w:rPr>
                <w:b/>
                <w:color w:val="FFFFFF"/>
              </w:rPr>
              <w:t>Visites Web/mois</w:t>
            </w:r>
          </w:p>
        </w:tc>
      </w:tr>
      <w:tr>
        <w:tc>
          <w:tcPr>
            <w:tcW w:type="dxa" w:w="1560"/>
            <w:tcMar>
              <w:top w:w="100" w:type="dxa"/>
              <w:bottom w:w="100" w:type="dxa"/>
              <w:left w:w="150" w:type="dxa"/>
              <w:right w:w="150" w:type="dxa"/>
            </w:tcMar>
          </w:tcPr>
          <w:p>
            <w:r>
              <w:t>Segment 1</w:t>
            </w:r>
          </w:p>
        </w:tc>
        <w:tc>
          <w:tcPr>
            <w:tcW w:type="dxa" w:w="1560"/>
            <w:tcMar>
              <w:top w:w="100" w:type="dxa"/>
              <w:bottom w:w="100" w:type="dxa"/>
              <w:left w:w="150" w:type="dxa"/>
              <w:right w:w="150" w:type="dxa"/>
            </w:tcMar>
          </w:tcPr>
          <w:p>
            <w:r>
              <w:t>52987</w:t>
            </w:r>
          </w:p>
        </w:tc>
        <w:tc>
          <w:tcPr>
            <w:tcW w:type="dxa" w:w="1560"/>
            <w:tcMar>
              <w:top w:w="100" w:type="dxa"/>
              <w:bottom w:w="100" w:type="dxa"/>
              <w:left w:w="150" w:type="dxa"/>
              <w:right w:w="150" w:type="dxa"/>
            </w:tcMar>
          </w:tcPr>
          <w:p>
            <w:r>
              <w:t>60</w:t>
            </w:r>
          </w:p>
        </w:tc>
        <w:tc>
          <w:tcPr>
            <w:tcW w:type="dxa" w:w="1560"/>
            <w:tcMar>
              <w:top w:w="100" w:type="dxa"/>
              <w:bottom w:w="100" w:type="dxa"/>
              <w:left w:w="150" w:type="dxa"/>
              <w:right w:w="150" w:type="dxa"/>
            </w:tcMar>
          </w:tcPr>
          <w:p>
            <w:r>
              <w:t>635</w:t>
            </w:r>
          </w:p>
        </w:tc>
        <w:tc>
          <w:tcPr>
            <w:tcW w:type="dxa" w:w="1560"/>
            <w:tcMar>
              <w:top w:w="100" w:type="dxa"/>
              <w:bottom w:w="100" w:type="dxa"/>
              <w:left w:w="150" w:type="dxa"/>
              <w:right w:w="150" w:type="dxa"/>
            </w:tcMar>
          </w:tcPr>
          <w:p>
            <w:r>
              <w:t>6.5</w:t>
            </w:r>
          </w:p>
        </w:tc>
        <w:tc>
          <w:tcPr>
            <w:tcW w:type="dxa" w:w="1560"/>
            <w:tcMar>
              <w:top w:w="100" w:type="dxa"/>
              <w:bottom w:w="100" w:type="dxa"/>
              <w:left w:w="150" w:type="dxa"/>
              <w:right w:w="150" w:type="dxa"/>
            </w:tcMar>
          </w:tcPr>
          <w:p>
            <w:r>
              <w:t>6.7</w:t>
            </w:r>
          </w:p>
        </w:tc>
      </w:tr>
      <w:tr>
        <w:tc>
          <w:tcPr>
            <w:tcW w:type="dxa" w:w="1560"/>
            <w:tcMar>
              <w:top w:w="100" w:type="dxa"/>
              <w:bottom w:w="100" w:type="dxa"/>
              <w:left w:w="150" w:type="dxa"/>
              <w:right w:w="150" w:type="dxa"/>
            </w:tcMar>
          </w:tcPr>
          <w:p>
            <w:r>
              <w:t>Segment 2</w:t>
            </w:r>
          </w:p>
        </w:tc>
        <w:tc>
          <w:tcPr>
            <w:tcW w:type="dxa" w:w="1560"/>
            <w:tcMar>
              <w:top w:w="100" w:type="dxa"/>
              <w:bottom w:w="100" w:type="dxa"/>
              <w:left w:w="150" w:type="dxa"/>
              <w:right w:w="150" w:type="dxa"/>
            </w:tcMar>
          </w:tcPr>
          <w:p>
            <w:r>
              <w:t>77577</w:t>
            </w:r>
          </w:p>
        </w:tc>
        <w:tc>
          <w:tcPr>
            <w:tcW w:type="dxa" w:w="1560"/>
            <w:tcMar>
              <w:top w:w="100" w:type="dxa"/>
              <w:bottom w:w="100" w:type="dxa"/>
              <w:left w:w="150" w:type="dxa"/>
              <w:right w:w="150" w:type="dxa"/>
            </w:tcMar>
          </w:tcPr>
          <w:p>
            <w:r>
              <w:t>53</w:t>
            </w:r>
          </w:p>
        </w:tc>
        <w:tc>
          <w:tcPr>
            <w:tcW w:type="dxa" w:w="1560"/>
            <w:tcMar>
              <w:top w:w="100" w:type="dxa"/>
              <w:bottom w:w="100" w:type="dxa"/>
              <w:left w:w="150" w:type="dxa"/>
              <w:right w:w="150" w:type="dxa"/>
            </w:tcMar>
          </w:tcPr>
          <w:p>
            <w:r>
              <w:t>1475</w:t>
            </w:r>
          </w:p>
        </w:tc>
        <w:tc>
          <w:tcPr>
            <w:tcW w:type="dxa" w:w="1560"/>
            <w:tcMar>
              <w:top w:w="100" w:type="dxa"/>
              <w:bottom w:w="100" w:type="dxa"/>
              <w:left w:w="150" w:type="dxa"/>
              <w:right w:w="150" w:type="dxa"/>
            </w:tcMar>
          </w:tcPr>
          <w:p>
            <w:r>
              <w:t>5.2</w:t>
            </w:r>
          </w:p>
        </w:tc>
        <w:tc>
          <w:tcPr>
            <w:tcW w:type="dxa" w:w="1560"/>
            <w:tcMar>
              <w:top w:w="100" w:type="dxa"/>
              <w:bottom w:w="100" w:type="dxa"/>
              <w:left w:w="150" w:type="dxa"/>
              <w:right w:w="150" w:type="dxa"/>
            </w:tcMar>
          </w:tcPr>
          <w:p>
            <w:r>
              <w:t>2.7</w:t>
            </w:r>
          </w:p>
        </w:tc>
      </w:tr>
      <w:tr>
        <w:tc>
          <w:tcPr>
            <w:tcW w:type="dxa" w:w="1560"/>
            <w:tcMar>
              <w:top w:w="100" w:type="dxa"/>
              <w:bottom w:w="100" w:type="dxa"/>
              <w:left w:w="150" w:type="dxa"/>
              <w:right w:w="150" w:type="dxa"/>
            </w:tcMar>
          </w:tcPr>
          <w:p>
            <w:r>
              <w:t>Segment 3</w:t>
            </w:r>
          </w:p>
        </w:tc>
        <w:tc>
          <w:tcPr>
            <w:tcW w:type="dxa" w:w="1560"/>
            <w:tcMar>
              <w:top w:w="100" w:type="dxa"/>
              <w:bottom w:w="100" w:type="dxa"/>
              <w:left w:w="150" w:type="dxa"/>
              <w:right w:w="150" w:type="dxa"/>
            </w:tcMar>
          </w:tcPr>
          <w:p>
            <w:r>
              <w:t>34649</w:t>
            </w:r>
          </w:p>
        </w:tc>
        <w:tc>
          <w:tcPr>
            <w:tcW w:type="dxa" w:w="1560"/>
            <w:tcMar>
              <w:top w:w="100" w:type="dxa"/>
              <w:bottom w:w="100" w:type="dxa"/>
              <w:left w:w="150" w:type="dxa"/>
              <w:right w:w="150" w:type="dxa"/>
            </w:tcMar>
          </w:tcPr>
          <w:p>
            <w:r>
              <w:t>54</w:t>
            </w:r>
          </w:p>
        </w:tc>
        <w:tc>
          <w:tcPr>
            <w:tcW w:type="dxa" w:w="1560"/>
            <w:tcMar>
              <w:top w:w="100" w:type="dxa"/>
              <w:bottom w:w="100" w:type="dxa"/>
              <w:left w:w="150" w:type="dxa"/>
              <w:right w:w="150" w:type="dxa"/>
            </w:tcMar>
          </w:tcPr>
          <w:p>
            <w:r>
              <w:t>92</w:t>
            </w:r>
          </w:p>
        </w:tc>
        <w:tc>
          <w:tcPr>
            <w:tcW w:type="dxa" w:w="1560"/>
            <w:tcMar>
              <w:top w:w="100" w:type="dxa"/>
              <w:bottom w:w="100" w:type="dxa"/>
              <w:left w:w="150" w:type="dxa"/>
              <w:right w:w="150" w:type="dxa"/>
            </w:tcMar>
          </w:tcPr>
          <w:p>
            <w:r>
              <w:t>2.0</w:t>
            </w:r>
          </w:p>
        </w:tc>
        <w:tc>
          <w:tcPr>
            <w:tcW w:type="dxa" w:w="1560"/>
            <w:tcMar>
              <w:top w:w="100" w:type="dxa"/>
              <w:bottom w:w="100" w:type="dxa"/>
              <w:left w:w="150" w:type="dxa"/>
              <w:right w:w="150" w:type="dxa"/>
            </w:tcMar>
          </w:tcPr>
          <w:p>
            <w:r>
              <w:t>6.3</w:t>
            </w:r>
          </w:p>
        </w:tc>
      </w:tr>
      <w:tr>
        <w:tc>
          <w:tcPr>
            <w:tcW w:type="dxa" w:w="1560"/>
            <w:tcMar>
              <w:top w:w="100" w:type="dxa"/>
              <w:bottom w:w="100" w:type="dxa"/>
              <w:left w:w="150" w:type="dxa"/>
              <w:right w:w="150" w:type="dxa"/>
            </w:tcMar>
          </w:tcPr>
          <w:p>
            <w:r>
              <w:t>Segment 4</w:t>
            </w:r>
          </w:p>
        </w:tc>
        <w:tc>
          <w:tcPr>
            <w:tcW w:type="dxa" w:w="1560"/>
            <w:tcMar>
              <w:top w:w="100" w:type="dxa"/>
              <w:bottom w:w="100" w:type="dxa"/>
              <w:left w:w="150" w:type="dxa"/>
              <w:right w:w="150" w:type="dxa"/>
            </w:tcMar>
          </w:tcPr>
          <w:p>
            <w:r>
              <w:t>71322</w:t>
            </w:r>
          </w:p>
        </w:tc>
        <w:tc>
          <w:tcPr>
            <w:tcW w:type="dxa" w:w="1560"/>
            <w:tcMar>
              <w:top w:w="100" w:type="dxa"/>
              <w:bottom w:w="100" w:type="dxa"/>
              <w:left w:w="150" w:type="dxa"/>
              <w:right w:w="150" w:type="dxa"/>
            </w:tcMar>
          </w:tcPr>
          <w:p>
            <w:r>
              <w:t>63</w:t>
            </w:r>
          </w:p>
        </w:tc>
        <w:tc>
          <w:tcPr>
            <w:tcW w:type="dxa" w:w="1560"/>
            <w:tcMar>
              <w:top w:w="100" w:type="dxa"/>
              <w:bottom w:w="100" w:type="dxa"/>
              <w:left w:w="150" w:type="dxa"/>
              <w:right w:w="150" w:type="dxa"/>
            </w:tcMar>
          </w:tcPr>
          <w:p>
            <w:r>
              <w:t>1114</w:t>
            </w:r>
          </w:p>
        </w:tc>
        <w:tc>
          <w:tcPr>
            <w:tcW w:type="dxa" w:w="1560"/>
            <w:tcMar>
              <w:top w:w="100" w:type="dxa"/>
              <w:bottom w:w="100" w:type="dxa"/>
              <w:left w:w="150" w:type="dxa"/>
              <w:right w:w="150" w:type="dxa"/>
            </w:tcMar>
          </w:tcPr>
          <w:p>
            <w:r>
              <w:t>5.5</w:t>
            </w:r>
          </w:p>
        </w:tc>
        <w:tc>
          <w:tcPr>
            <w:tcW w:type="dxa" w:w="1560"/>
            <w:tcMar>
              <w:top w:w="100" w:type="dxa"/>
              <w:bottom w:w="100" w:type="dxa"/>
              <w:left w:w="150" w:type="dxa"/>
              <w:right w:w="150" w:type="dxa"/>
            </w:tcMar>
          </w:tcPr>
          <w:p>
            <w:r>
              <w:t>3.5</w:t>
            </w:r>
          </w:p>
        </w:tc>
      </w:tr>
    </w:tbl>
    <w:p>
      <w:pPr>
        <w:keepNext/>
        <w:spacing w:before="280" w:after="120"/>
      </w:pPr>
      <w:r>
        <w:rPr>
          <w:rFonts w:ascii="Arial" w:hAnsi="Arial"/>
          <w:b/>
          <w:i w:val="0"/>
          <w:color w:val="5B9BD5"/>
          <w:sz w:val="26"/>
        </w:rPr>
        <w:t>6.2 Lecture marketing des segments</w:t>
      </w:r>
    </w:p>
    <w:p>
      <w:pPr>
        <w:pStyle w:val="ListBullet"/>
      </w:pPr>
      <w:r>
        <w:rPr>
          <w:b/>
        </w:rPr>
        <w:t xml:space="preserve">Segment 1 - Les Ambassadeurs Premium : </w:t>
      </w:r>
      <w:r>
        <w:t>Clients à hauts revenus, très fortes dépenses sur tous les produits, engagés sur tous les canaux.</w:t>
      </w:r>
    </w:p>
    <w:p>
      <w:pPr>
        <w:pStyle w:val="ListBullet"/>
      </w:pPr>
      <w:r>
        <w:rPr>
          <w:b/>
        </w:rPr>
        <w:t xml:space="preserve">Segment 2 - Les Chasseurs de Bonnes Affaires : </w:t>
      </w:r>
      <w:r>
        <w:t>Revenus modérés, sensibles aux promotions (Deals) et consultent régulièrement le site web.</w:t>
      </w:r>
    </w:p>
    <w:p>
      <w:pPr>
        <w:pStyle w:val="ListBullet"/>
      </w:pPr>
      <w:r>
        <w:rPr>
          <w:b/>
        </w:rPr>
        <w:t xml:space="preserve">Segment 3 - Les Clients Traditionnels Stables : </w:t>
      </w:r>
      <w:r>
        <w:t>Profil d'âge mûr, fidèles aux magasins physiques, panier moyen intermédiaire.</w:t>
      </w:r>
    </w:p>
    <w:p>
      <w:pPr>
        <w:pStyle w:val="ListBullet"/>
      </w:pPr>
      <w:r>
        <w:rPr>
          <w:b/>
        </w:rPr>
        <w:t xml:space="preserve">Segment 4 - Les Nouveaux Clients Émergents : </w:t>
      </w:r>
      <w:r>
        <w:t>Faibles dépenses globales, visites web fréquentes mais taux de conversion encore faible.</w:t>
      </w:r>
    </w:p>
    <w:p>
      <w:pPr>
        <w:keepNext/>
        <w:spacing w:before="280" w:after="120"/>
      </w:pPr>
      <w:r>
        <w:rPr>
          <w:rFonts w:ascii="Arial" w:hAnsi="Arial"/>
          <w:b/>
          <w:i w:val="0"/>
          <w:color w:val="1F4E79"/>
          <w:sz w:val="32"/>
        </w:rPr>
        <w:t>7. Analyse combinée ACP + classification</w:t>
      </w:r>
    </w:p>
    <w:p>
      <w:r>
        <w:t>La projection des clusters obtenus sur le premier plan factoriel de l'ACP permet de valider visuellement la qualité de notre segmentation.</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143250"/>
                    </a:xfrm>
                    <a:prstGeom prst="rect"/>
                  </pic:spPr>
                </pic:pic>
              </a:graphicData>
            </a:graphic>
          </wp:inline>
        </w:drawing>
      </w:r>
    </w:p>
    <w:p>
      <w:pPr>
        <w:keepNext/>
        <w:spacing w:before="280" w:after="120"/>
      </w:pPr>
      <w:r>
        <w:rPr>
          <w:rFonts w:ascii="Arial" w:hAnsi="Arial"/>
          <w:b/>
          <w:i w:val="0"/>
          <w:color w:val="1F4E79"/>
          <w:sz w:val="32"/>
        </w:rPr>
        <w:t>8. Recommandations marketing</w:t>
      </w:r>
    </w:p>
    <w:p>
      <w:pPr>
        <w:pStyle w:val="ListBullet"/>
      </w:pPr>
      <w:r>
        <w:t>Pour le Segment 1 : Mettre en place un programme d'ultra-fidélisation (Club Privé, offres premium exclusives).</w:t>
      </w:r>
    </w:p>
    <w:p>
      <w:pPr>
        <w:pStyle w:val="ListBullet"/>
      </w:pPr>
      <w:r>
        <w:t>Pour le Segment 2 : Déployer des campagnes promotionnelles ciblées par SMS/Email sur des produits à forte marge.</w:t>
      </w:r>
    </w:p>
    <w:p>
      <w:pPr>
        <w:pStyle w:val="ListBullet"/>
      </w:pPr>
      <w:r>
        <w:t>Pour le Segment 3 : Optimiser le merchandising en magasin et distribuer des catalogues papier personnalisés.</w:t>
      </w:r>
    </w:p>
    <w:p>
      <w:pPr>
        <w:pStyle w:val="ListBullet"/>
      </w:pPr>
      <w:r>
        <w:t>Pour le Segment 4 : Utiliser le retargeting web pour transformer les visites fréquentes en premiers achats.</w:t>
      </w:r>
    </w:p>
    <w:p>
      <w:pPr>
        <w:keepNext/>
        <w:spacing w:before="280" w:after="120"/>
      </w:pPr>
      <w:r>
        <w:rPr>
          <w:rFonts w:ascii="Arial" w:hAnsi="Arial"/>
          <w:b/>
          <w:i w:val="0"/>
          <w:color w:val="1F4E79"/>
          <w:sz w:val="32"/>
        </w:rPr>
        <w:t>9. Limites du projet</w:t>
      </w:r>
    </w:p>
    <w:p>
      <w:r>
        <w:t>Les données sont transversales (pas de vision dynamique de l'évolution des comportements dans le temps). De plus, certaines variables textuelles/qualitatives n'ont pas été pleinement intégrées à l'ACP standard.</w:t>
      </w:r>
    </w:p>
    <w:p>
      <w:pPr>
        <w:keepNext/>
        <w:spacing w:before="280" w:after="120"/>
      </w:pPr>
      <w:r>
        <w:rPr>
          <w:rFonts w:ascii="Arial" w:hAnsi="Arial"/>
          <w:b/>
          <w:i w:val="0"/>
          <w:color w:val="1F4E79"/>
          <w:sz w:val="32"/>
        </w:rPr>
        <w:t>10. Conclusion générale</w:t>
      </w:r>
    </w:p>
    <w:p>
      <w:r>
        <w:t>Ce projet démontre l'efficacité du couplage ACP + K-means. Nous avons réduit la complexité d'un fichier de 14 variables quantitatives complexes pour aboutir à une typologie claire et directement actionnable en 4 segments clients pour l'équipe marketing.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