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Especificación de Requisitos de Software</w:t>
      </w:r>
    </w:p>
    <w:p>
      <w:pPr>
        <w:jc w:val="center"/>
      </w:pPr>
      <w:r>
        <w:t>Conversor de Unidades Monster</w:t>
      </w:r>
    </w:p>
    <w:p>
      <w:r>
        <w:t>TI.1.1 | PAO202651 | NRC36884 | GR09</w:t>
      </w:r>
    </w:p>
    <w:p>
      <w:r>
        <w:t>Arquitectura RESTful Java sin base de datos | 14 de octubre de 2026</w:t>
      </w:r>
    </w:p>
    <w:p>
      <w:pPr>
        <w:pStyle w:val="Heading1"/>
      </w:pPr>
      <w:r>
        <w:t>1. Propósito y alcance</w:t>
      </w:r>
    </w:p>
    <w:p>
      <w:r>
        <w:t>El sistema permite convertir longitud, masa y temperatura desde cuatro clientes Java. Un servidor Spring Boot expone una API REST con JSON. El proyecto no utiliza base de datos; credenciales, catálogo y tokens se gestionan en memoria.</w:t>
      </w:r>
    </w:p>
    <w:p>
      <w:r>
        <w:t>El contrato implementado aquí es HTTP/JSON y los clientes aplican MVC según las capas presentes en el proyecto.</w:t>
      </w:r>
    </w:p>
    <w:p>
      <w:pPr>
        <w:pStyle w:val="Heading1"/>
      </w:pPr>
      <w:r>
        <w:t>2. Actores y arquitectura</w:t>
      </w:r>
    </w:p>
    <w:p>
      <w:r>
        <w:t>Actor: usuario final. Inicia sesión, consulta unidades, realiza conversiones y cierra sesión.</w:t>
      </w:r>
    </w:p>
    <w:p>
      <w:r>
        <w:t>Cada cliente presenta una vista, un controlador coordina el flujo, un modelo conserva datos y un servicio/adaptador consume la API. El servidor separa controladores REST, lógica de negocio, modelos/DTO y seguridad.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Proyecto</w:t>
            </w:r>
          </w:p>
        </w:tc>
        <w:tc>
          <w:tcPr>
            <w:tcW w:type="dxa" w:w="1881"/>
          </w:tcPr>
          <w:p>
            <w:r>
              <w:t>Controlador</w:t>
            </w:r>
          </w:p>
        </w:tc>
        <w:tc>
          <w:tcPr>
            <w:tcW w:type="dxa" w:w="1881"/>
          </w:tcPr>
          <w:p>
            <w:r>
              <w:t>Modelo</w:t>
            </w:r>
          </w:p>
        </w:tc>
        <w:tc>
          <w:tcPr>
            <w:tcW w:type="dxa" w:w="1881"/>
          </w:tcPr>
          <w:p>
            <w:r>
              <w:t>Vista</w:t>
            </w:r>
          </w:p>
        </w:tc>
        <w:tc>
          <w:tcPr>
            <w:tcW w:type="dxa" w:w="1881"/>
          </w:tcPr>
          <w:p>
            <w:r>
              <w:t>Servicios y apoyo</w:t>
            </w:r>
          </w:p>
        </w:tc>
      </w:tr>
      <w:tr>
        <w:tc>
          <w:tcPr>
            <w:tcW w:type="dxa" w:w="1881"/>
          </w:tcPr>
          <w:p>
            <w:r>
              <w:t>Servidor</w:t>
            </w:r>
          </w:p>
        </w:tc>
        <w:tc>
          <w:tcPr>
            <w:tcW w:type="dxa" w:w="1881"/>
          </w:tcPr>
          <w:p>
            <w:r>
              <w:t>controlador</w:t>
            </w:r>
          </w:p>
        </w:tc>
        <w:tc>
          <w:tcPr>
            <w:tcW w:type="dxa" w:w="1881"/>
          </w:tcPr>
          <w:p>
            <w:r>
              <w:t>modelo y DTO</w:t>
            </w:r>
          </w:p>
        </w:tc>
        <w:tc>
          <w:tcPr>
            <w:tcW w:type="dxa" w:w="1881"/>
          </w:tcPr>
          <w:p>
            <w:r>
              <w:t>Sin vista gráfica (API)</w:t>
            </w:r>
          </w:p>
        </w:tc>
        <w:tc>
          <w:tcPr>
            <w:tcW w:type="dxa" w:w="1881"/>
          </w:tcPr>
          <w:p>
            <w:r>
              <w:t>servicios; seguridad; configuracion; excepciones</w:t>
            </w:r>
          </w:p>
        </w:tc>
      </w:tr>
      <w:tr>
        <w:tc>
          <w:tcPr>
            <w:tcW w:type="dxa" w:w="1881"/>
          </w:tcPr>
          <w:p>
            <w:r>
              <w:t>Consola</w:t>
            </w:r>
          </w:p>
        </w:tc>
        <w:tc>
          <w:tcPr>
            <w:tcW w:type="dxa" w:w="1881"/>
          </w:tcPr>
          <w:p>
            <w:r>
              <w:t>controlador</w:t>
            </w:r>
          </w:p>
        </w:tc>
        <w:tc>
          <w:tcPr>
            <w:tcW w:type="dxa" w:w="1881"/>
          </w:tcPr>
          <w:p>
            <w:r>
              <w:t>modelo</w:t>
            </w:r>
          </w:p>
        </w:tc>
        <w:tc>
          <w:tcPr>
            <w:tcW w:type="dxa" w:w="1881"/>
          </w:tcPr>
          <w:p>
            <w:r>
              <w:t>vista</w:t>
            </w:r>
          </w:p>
        </w:tc>
        <w:tc>
          <w:tcPr>
            <w:tcW w:type="dxa" w:w="1881"/>
          </w:tcPr>
          <w:p>
            <w:r>
              <w:t>servicios</w:t>
            </w:r>
          </w:p>
        </w:tc>
      </w:tr>
      <w:tr>
        <w:tc>
          <w:tcPr>
            <w:tcW w:type="dxa" w:w="1881"/>
          </w:tcPr>
          <w:p>
            <w:r>
              <w:t>Escritorio</w:t>
            </w:r>
          </w:p>
        </w:tc>
        <w:tc>
          <w:tcPr>
            <w:tcW w:type="dxa" w:w="1881"/>
          </w:tcPr>
          <w:p>
            <w:r>
              <w:t>controlador</w:t>
            </w:r>
          </w:p>
        </w:tc>
        <w:tc>
          <w:tcPr>
            <w:tcW w:type="dxa" w:w="1881"/>
          </w:tcPr>
          <w:p>
            <w:r>
              <w:t>modelo</w:t>
            </w:r>
          </w:p>
        </w:tc>
        <w:tc>
          <w:tcPr>
            <w:tcW w:type="dxa" w:w="1881"/>
          </w:tcPr>
          <w:p>
            <w:r>
              <w:t>vista</w:t>
            </w:r>
          </w:p>
        </w:tc>
        <w:tc>
          <w:tcPr>
            <w:tcW w:type="dxa" w:w="1881"/>
          </w:tcPr>
          <w:p>
            <w:r>
              <w:t>servicios</w:t>
            </w:r>
          </w:p>
        </w:tc>
      </w:tr>
      <w:tr>
        <w:tc>
          <w:tcPr>
            <w:tcW w:type="dxa" w:w="1881"/>
          </w:tcPr>
          <w:p>
            <w:r>
              <w:t>Web</w:t>
            </w:r>
          </w:p>
        </w:tc>
        <w:tc>
          <w:tcPr>
            <w:tcW w:type="dxa" w:w="1881"/>
          </w:tcPr>
          <w:p>
            <w:r>
              <w:t>controlador</w:t>
            </w:r>
          </w:p>
        </w:tc>
        <w:tc>
          <w:tcPr>
            <w:tcW w:type="dxa" w:w="1881"/>
          </w:tcPr>
          <w:p>
            <w:r>
              <w:t>modelo</w:t>
            </w:r>
          </w:p>
        </w:tc>
        <w:tc>
          <w:tcPr>
            <w:tcW w:type="dxa" w:w="1881"/>
          </w:tcPr>
          <w:p>
            <w:r>
              <w:t>WEB-INF/vista (JSP)</w:t>
            </w:r>
          </w:p>
        </w:tc>
        <w:tc>
          <w:tcPr>
            <w:tcW w:type="dxa" w:w="1881"/>
          </w:tcPr>
          <w:p>
            <w:r>
              <w:t>servicios</w:t>
            </w:r>
          </w:p>
        </w:tc>
      </w:tr>
      <w:tr>
        <w:tc>
          <w:tcPr>
            <w:tcW w:type="dxa" w:w="1881"/>
          </w:tcPr>
          <w:p>
            <w:r>
              <w:t>Móvil</w:t>
            </w:r>
          </w:p>
        </w:tc>
        <w:tc>
          <w:tcPr>
            <w:tcW w:type="dxa" w:w="1881"/>
          </w:tcPr>
          <w:p>
            <w:r>
              <w:t>controlador</w:t>
            </w:r>
          </w:p>
        </w:tc>
        <w:tc>
          <w:tcPr>
            <w:tcW w:type="dxa" w:w="1881"/>
          </w:tcPr>
          <w:p>
            <w:r>
              <w:t>modelo</w:t>
            </w:r>
          </w:p>
        </w:tc>
        <w:tc>
          <w:tcPr>
            <w:tcW w:type="dxa" w:w="1881"/>
          </w:tcPr>
          <w:p>
            <w:r>
              <w:t>vista</w:t>
            </w:r>
          </w:p>
        </w:tc>
        <w:tc>
          <w:tcPr>
            <w:tcW w:type="dxa" w:w="1881"/>
          </w:tcPr>
          <w:p>
            <w:r>
              <w:t>servicios</w:t>
            </w:r>
          </w:p>
        </w:tc>
      </w:tr>
    </w:tbl>
    <w:p/>
    <w:p>
      <w:pPr>
        <w:pStyle w:val="Heading1"/>
      </w:pPr>
      <w:r>
        <w:t>3. Requisitos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Requisito</w:t>
            </w:r>
          </w:p>
        </w:tc>
        <w:tc>
          <w:tcPr>
            <w:tcW w:type="dxa" w:w="3135"/>
          </w:tcPr>
          <w:p>
            <w:r>
              <w:t>Criterio observable</w:t>
            </w:r>
          </w:p>
        </w:tc>
      </w:tr>
      <w:tr>
        <w:tc>
          <w:tcPr>
            <w:tcW w:type="dxa" w:w="3135"/>
          </w:tcPr>
          <w:p>
            <w:r>
              <w:t>RF-01</w:t>
            </w:r>
          </w:p>
        </w:tc>
        <w:tc>
          <w:tcPr>
            <w:tcW w:type="dxa" w:w="3135"/>
          </w:tcPr>
          <w:p>
            <w:r>
              <w:t>Autenticación</w:t>
            </w:r>
          </w:p>
        </w:tc>
        <w:tc>
          <w:tcPr>
            <w:tcW w:type="dxa" w:w="3135"/>
          </w:tcPr>
          <w:p>
            <w:r>
              <w:t>Login con usuario y clave; respuesta con token Bearer y vigencia de 600 segundos.</w:t>
            </w:r>
          </w:p>
        </w:tc>
      </w:tr>
      <w:tr>
        <w:tc>
          <w:tcPr>
            <w:tcW w:type="dxa" w:w="3135"/>
          </w:tcPr>
          <w:p>
            <w:r>
              <w:t>RF-02</w:t>
            </w:r>
          </w:p>
        </w:tc>
        <w:tc>
          <w:tcPr>
            <w:tcW w:type="dxa" w:w="3135"/>
          </w:tcPr>
          <w:p>
            <w:r>
              <w:t>Catálogo</w:t>
            </w:r>
          </w:p>
        </w:tc>
        <w:tc>
          <w:tcPr>
            <w:tcW w:type="dxa" w:w="3135"/>
          </w:tcPr>
          <w:p>
            <w:r>
              <w:t>Consulta pública de las tres magnitudes y sus unidades.</w:t>
            </w:r>
          </w:p>
        </w:tc>
      </w:tr>
      <w:tr>
        <w:tc>
          <w:tcPr>
            <w:tcW w:type="dxa" w:w="3135"/>
          </w:tcPr>
          <w:p>
            <w:r>
              <w:t>RF-03</w:t>
            </w:r>
          </w:p>
        </w:tc>
        <w:tc>
          <w:tcPr>
            <w:tcW w:type="dxa" w:w="3135"/>
          </w:tcPr>
          <w:p>
            <w:r>
              <w:t>Longitud</w:t>
            </w:r>
          </w:p>
        </w:tc>
        <w:tc>
          <w:tcPr>
            <w:tcW w:type="dxa" w:w="3135"/>
          </w:tcPr>
          <w:p>
            <w:r>
              <w:t>Conversión entre milímetros, centímetros, metros, kilómetros, pies, yardas y millas.</w:t>
            </w:r>
          </w:p>
        </w:tc>
      </w:tr>
      <w:tr>
        <w:tc>
          <w:tcPr>
            <w:tcW w:type="dxa" w:w="3135"/>
          </w:tcPr>
          <w:p>
            <w:r>
              <w:t>RF-04</w:t>
            </w:r>
          </w:p>
        </w:tc>
        <w:tc>
          <w:tcPr>
            <w:tcW w:type="dxa" w:w="3135"/>
          </w:tcPr>
          <w:p>
            <w:r>
              <w:t>Masa</w:t>
            </w:r>
          </w:p>
        </w:tc>
        <w:tc>
          <w:tcPr>
            <w:tcW w:type="dxa" w:w="3135"/>
          </w:tcPr>
          <w:p>
            <w:r>
              <w:t>Conversión entre miligramos, gramos, kilogramos, toneladas, onzas, libras y quintales.</w:t>
            </w:r>
          </w:p>
        </w:tc>
      </w:tr>
      <w:tr>
        <w:tc>
          <w:tcPr>
            <w:tcW w:type="dxa" w:w="3135"/>
          </w:tcPr>
          <w:p>
            <w:r>
              <w:t>RF-05</w:t>
            </w:r>
          </w:p>
        </w:tc>
        <w:tc>
          <w:tcPr>
            <w:tcW w:type="dxa" w:w="3135"/>
          </w:tcPr>
          <w:p>
            <w:r>
              <w:t>Temperatura</w:t>
            </w:r>
          </w:p>
        </w:tc>
        <w:tc>
          <w:tcPr>
            <w:tcW w:type="dxa" w:w="3135"/>
          </w:tcPr>
          <w:p>
            <w:r>
              <w:t>Conversión entre Celsius, Fahrenheit, Kelvin, Rankine, Newton y Réaumur.</w:t>
            </w:r>
          </w:p>
        </w:tc>
      </w:tr>
      <w:tr>
        <w:tc>
          <w:tcPr>
            <w:tcW w:type="dxa" w:w="3135"/>
          </w:tcPr>
          <w:p>
            <w:r>
              <w:t>RF-06</w:t>
            </w:r>
          </w:p>
        </w:tc>
        <w:tc>
          <w:tcPr>
            <w:tcW w:type="dxa" w:w="3135"/>
          </w:tcPr>
          <w:p>
            <w:r>
              <w:t>Autorización</w:t>
            </w:r>
          </w:p>
        </w:tc>
        <w:tc>
          <w:tcPr>
            <w:tcW w:type="dxa" w:w="3135"/>
          </w:tcPr>
          <w:p>
            <w:r>
              <w:t>Las conversiones exigen token válido; un token vencido devuelve 401.</w:t>
            </w:r>
          </w:p>
        </w:tc>
      </w:tr>
      <w:tr>
        <w:tc>
          <w:tcPr>
            <w:tcW w:type="dxa" w:w="3135"/>
          </w:tcPr>
          <w:p>
            <w:r>
              <w:t>RF-07</w:t>
            </w:r>
          </w:p>
        </w:tc>
        <w:tc>
          <w:tcPr>
            <w:tcW w:type="dxa" w:w="3135"/>
          </w:tcPr>
          <w:p>
            <w:r>
              <w:t>Cierre de sesión</w:t>
            </w:r>
          </w:p>
        </w:tc>
        <w:tc>
          <w:tcPr>
            <w:tcW w:type="dxa" w:w="3135"/>
          </w:tcPr>
          <w:p>
            <w:r>
              <w:t>El servidor permite revocar el token mediante /api/auth/logout.</w:t>
            </w:r>
          </w:p>
        </w:tc>
      </w:tr>
      <w:tr>
        <w:tc>
          <w:tcPr>
            <w:tcW w:type="dxa" w:w="3135"/>
          </w:tcPr>
          <w:p>
            <w:r>
              <w:t>RF-08</w:t>
            </w:r>
          </w:p>
        </w:tc>
        <w:tc>
          <w:tcPr>
            <w:tcW w:type="dxa" w:w="3135"/>
          </w:tcPr>
          <w:p>
            <w:r>
              <w:t>Errores</w:t>
            </w:r>
          </w:p>
        </w:tc>
        <w:tc>
          <w:tcPr>
            <w:tcW w:type="dxa" w:w="3135"/>
          </w:tcPr>
          <w:p>
            <w:r>
              <w:t>Rechaza valor ausente o no finito, masa negativa, unidades vacías o no admitidas; responde con error JSON y código HTTP apropiado.</w:t>
            </w:r>
          </w:p>
        </w:tc>
      </w:tr>
    </w:tbl>
    <w:p/>
    <w:p>
      <w:pPr>
        <w:pStyle w:val="Heading1"/>
      </w:pPr>
      <w:r>
        <w:t>4. Requisitos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Requisito</w:t>
            </w:r>
          </w:p>
        </w:tc>
      </w:tr>
      <w:tr>
        <w:tc>
          <w:tcPr>
            <w:tcW w:type="dxa" w:w="4703"/>
          </w:tcPr>
          <w:p>
            <w:r>
              <w:t>RNF-01</w:t>
            </w:r>
          </w:p>
        </w:tc>
        <w:tc>
          <w:tcPr>
            <w:tcW w:type="dxa" w:w="4703"/>
          </w:tcPr>
          <w:p>
            <w:r>
              <w:t>Servidor Java 21 y Spring Boot 3.5.5; construcción con Maven.</w:t>
            </w:r>
          </w:p>
        </w:tc>
      </w:tr>
      <w:tr>
        <w:tc>
          <w:tcPr>
            <w:tcW w:type="dxa" w:w="4703"/>
          </w:tcPr>
          <w:p>
            <w:r>
              <w:t>RNF-02</w:t>
            </w:r>
          </w:p>
        </w:tc>
        <w:tc>
          <w:tcPr>
            <w:tcW w:type="dxa" w:w="4703"/>
          </w:tcPr>
          <w:p>
            <w:r>
              <w:t>API HTTP/JSON documentada mediante OpenAPI y Swagger UI.</w:t>
            </w:r>
          </w:p>
        </w:tc>
      </w:tr>
      <w:tr>
        <w:tc>
          <w:tcPr>
            <w:tcW w:type="dxa" w:w="4703"/>
          </w:tcPr>
          <w:p>
            <w:r>
              <w:t>RNF-03</w:t>
            </w:r>
          </w:p>
        </w:tc>
        <w:tc>
          <w:tcPr>
            <w:tcW w:type="dxa" w:w="4703"/>
          </w:tcPr>
          <w:p>
            <w:r>
              <w:t>Sin base de datos; el token y el catálogo residen en memoria.</w:t>
            </w:r>
          </w:p>
        </w:tc>
      </w:tr>
      <w:tr>
        <w:tc>
          <w:tcPr>
            <w:tcW w:type="dxa" w:w="4703"/>
          </w:tcPr>
          <w:p>
            <w:r>
              <w:t>RNF-04</w:t>
            </w:r>
          </w:p>
        </w:tc>
        <w:tc>
          <w:tcPr>
            <w:tcW w:type="dxa" w:w="4703"/>
          </w:tcPr>
          <w:p>
            <w:r>
              <w:t>Token UUID con vigencia de 10 minutos desde su emisión.</w:t>
            </w:r>
          </w:p>
        </w:tc>
      </w:tr>
      <w:tr>
        <w:tc>
          <w:tcPr>
            <w:tcW w:type="dxa" w:w="4703"/>
          </w:tcPr>
          <w:p>
            <w:r>
              <w:t>RNF-05</w:t>
            </w:r>
          </w:p>
        </w:tc>
        <w:tc>
          <w:tcPr>
            <w:tcW w:type="dxa" w:w="4703"/>
          </w:tcPr>
          <w:p>
            <w:r>
              <w:t>Clientes de consola, escritorio Swing, web JSP/Servlet y Android.</w:t>
            </w:r>
          </w:p>
        </w:tc>
      </w:tr>
      <w:tr>
        <w:tc>
          <w:tcPr>
            <w:tcW w:type="dxa" w:w="4703"/>
          </w:tcPr>
          <w:p>
            <w:r>
              <w:t>RNF-06</w:t>
            </w:r>
          </w:p>
        </w:tc>
        <w:tc>
          <w:tcPr>
            <w:tcW w:type="dxa" w:w="4703"/>
          </w:tcPr>
          <w:p>
            <w:r>
              <w:t>Separación MVC explícita según responsabilidades de cada plataforma.</w:t>
            </w:r>
          </w:p>
        </w:tc>
      </w:tr>
    </w:tbl>
    <w:p/>
    <w:p>
      <w:pPr>
        <w:pStyle w:val="Heading1"/>
      </w:pPr>
      <w:r>
        <w:t>5. Interfaces externas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Método</w:t>
            </w:r>
          </w:p>
        </w:tc>
        <w:tc>
          <w:tcPr>
            <w:tcW w:type="dxa" w:w="2351"/>
          </w:tcPr>
          <w:p>
            <w:r>
              <w:t>Ruta</w:t>
            </w:r>
          </w:p>
        </w:tc>
        <w:tc>
          <w:tcPr>
            <w:tcW w:type="dxa" w:w="2351"/>
          </w:tcPr>
          <w:p>
            <w:r>
              <w:t>Acceso</w:t>
            </w:r>
          </w:p>
        </w:tc>
        <w:tc>
          <w:tcPr>
            <w:tcW w:type="dxa" w:w="2351"/>
          </w:tcPr>
          <w:p>
            <w:r>
              <w:t>Respuesta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/api/auth/login</w:t>
            </w:r>
          </w:p>
        </w:tc>
        <w:tc>
          <w:tcPr>
            <w:tcW w:type="dxa" w:w="2351"/>
          </w:tcPr>
          <w:p>
            <w:r>
              <w:t>Público</w:t>
            </w:r>
          </w:p>
        </w:tc>
        <w:tc>
          <w:tcPr>
            <w:tcW w:type="dxa" w:w="2351"/>
          </w:tcPr>
          <w:p>
            <w:r>
              <w:t>Valida credenciales y emite token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/api/auth/logout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  <w:tc>
          <w:tcPr>
            <w:tcW w:type="dxa" w:w="2351"/>
          </w:tcPr>
          <w:p>
            <w:r>
              <w:t>Revoca token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/api/catalogo</w:t>
            </w:r>
          </w:p>
        </w:tc>
        <w:tc>
          <w:tcPr>
            <w:tcW w:type="dxa" w:w="2351"/>
          </w:tcPr>
          <w:p>
            <w:r>
              <w:t>Público</w:t>
            </w:r>
          </w:p>
        </w:tc>
        <w:tc>
          <w:tcPr>
            <w:tcW w:type="dxa" w:w="2351"/>
          </w:tcPr>
          <w:p>
            <w:r>
              <w:t>Lista magnitudes y unidades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/api/conversiones/longitud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  <w:tc>
          <w:tcPr>
            <w:tcW w:type="dxa" w:w="2351"/>
          </w:tcPr>
          <w:p>
            <w:r>
              <w:t>Convierte longitud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/api/conversiones/masa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  <w:tc>
          <w:tcPr>
            <w:tcW w:type="dxa" w:w="2351"/>
          </w:tcPr>
          <w:p>
            <w:r>
              <w:t>Convierte masa</w:t>
            </w:r>
          </w:p>
        </w:tc>
      </w:tr>
      <w:tr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/api/conversiones/temperatura</w:t>
            </w:r>
          </w:p>
        </w:tc>
        <w:tc>
          <w:tcPr>
            <w:tcW w:type="dxa" w:w="2351"/>
          </w:tcPr>
          <w:p>
            <w:r>
              <w:t>Bearer</w:t>
            </w:r>
          </w:p>
        </w:tc>
        <w:tc>
          <w:tcPr>
            <w:tcW w:type="dxa" w:w="2351"/>
          </w:tcPr>
          <w:p>
            <w:r>
              <w:t>Convierte temperatura</w:t>
            </w:r>
          </w:p>
        </w:tc>
      </w:tr>
      <w:tr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/api/salud</w:t>
            </w:r>
          </w:p>
        </w:tc>
        <w:tc>
          <w:tcPr>
            <w:tcW w:type="dxa" w:w="2351"/>
          </w:tcPr>
          <w:p>
            <w:r>
              <w:t>Público</w:t>
            </w:r>
          </w:p>
        </w:tc>
        <w:tc>
          <w:tcPr>
            <w:tcW w:type="dxa" w:w="2351"/>
          </w:tcPr>
          <w:p>
            <w:r>
              <w:t>Estado del servidor</w:t>
            </w:r>
          </w:p>
        </w:tc>
      </w:tr>
    </w:tbl>
    <w:p/>
    <w:p>
      <w:r>
        <w:t>Las solicitudes de conversión incluyen valor numérico, unidadOrigen y unidadDestino. El token se envía en Authorization: Bearer &lt;token&gt;. Una respuesta correcta incluye exito, magnitud, valor, unidadOrigen, unidadDestino, resultado y mensaje. Los errores incluyen exito, codigo, error, mensaje, ruta y timestamp, junto con el código HTTP.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Magnitud</w:t>
            </w:r>
          </w:p>
        </w:tc>
        <w:tc>
          <w:tcPr>
            <w:tcW w:type="dxa" w:w="4703"/>
          </w:tcPr>
          <w:p>
            <w:r>
              <w:t>Unidades admitidas</w:t>
            </w:r>
          </w:p>
        </w:tc>
      </w:tr>
      <w:tr>
        <w:tc>
          <w:tcPr>
            <w:tcW w:type="dxa" w:w="4703"/>
          </w:tcPr>
          <w:p>
            <w:r>
              <w:t>Longitud</w:t>
            </w:r>
          </w:p>
        </w:tc>
        <w:tc>
          <w:tcPr>
            <w:tcW w:type="dxa" w:w="4703"/>
          </w:tcPr>
          <w:p>
            <w:r>
              <w:t>milimetros, centimetros, metros, kilometros, pies, yardas, millas</w:t>
            </w:r>
          </w:p>
        </w:tc>
      </w:tr>
      <w:tr>
        <w:tc>
          <w:tcPr>
            <w:tcW w:type="dxa" w:w="4703"/>
          </w:tcPr>
          <w:p>
            <w:r>
              <w:t>Masa</w:t>
            </w:r>
          </w:p>
        </w:tc>
        <w:tc>
          <w:tcPr>
            <w:tcW w:type="dxa" w:w="4703"/>
          </w:tcPr>
          <w:p>
            <w:r>
              <w:t>miligramos, gramos, kilogramos, toneladas, onzas, libras, quintales</w:t>
            </w:r>
          </w:p>
        </w:tc>
      </w:tr>
      <w:tr>
        <w:tc>
          <w:tcPr>
            <w:tcW w:type="dxa" w:w="4703"/>
          </w:tcPr>
          <w:p>
            <w:r>
              <w:t>Temperatura</w:t>
            </w:r>
          </w:p>
        </w:tc>
        <w:tc>
          <w:tcPr>
            <w:tcW w:type="dxa" w:w="4703"/>
          </w:tcPr>
          <w:p>
            <w:r>
              <w:t>celsius, fahrenheit, kelvin, rankine, newton, reaumur</w:t>
            </w:r>
          </w:p>
        </w:tc>
      </w:tr>
    </w:tbl>
    <w:p/>
    <w:p>
      <w:pPr>
        <w:pStyle w:val="Heading1"/>
      </w:pPr>
      <w:r>
        <w:t>6. Datos y restricciones</w:t>
      </w:r>
    </w:p>
    <w:p>
      <w:r>
        <w:t>Usuario de demostración: Monster; clave: Monster9. No hay registro de usuarios, persistencia ni motor de base de datos. Los tokens dejan de existir cuando se reinicia el servidor.</w:t>
      </w:r>
    </w:p>
    <w:p>
      <w:r>
        <w:t>La interfaz del cliente móvil usa 10.0.2.2:8080 desde emulador Android. El cliente web se despliega en un contenedor Jakarta EE 10 separado del servidor REST.</w:t>
      </w:r>
    </w:p>
    <w:p>
      <w:pPr>
        <w:pStyle w:val="Heading1"/>
      </w:pPr>
      <w:r>
        <w:t>7.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Requisito</w:t>
            </w:r>
          </w:p>
        </w:tc>
        <w:tc>
          <w:tcPr>
            <w:tcW w:type="dxa" w:w="4703"/>
          </w:tcPr>
          <w:p>
            <w:r>
              <w:t>Componentes</w:t>
            </w:r>
          </w:p>
        </w:tc>
      </w:tr>
      <w:tr>
        <w:tc>
          <w:tcPr>
            <w:tcW w:type="dxa" w:w="4703"/>
          </w:tcPr>
          <w:p>
            <w:r>
              <w:t>RF-01, RF-06, RF-07</w:t>
            </w:r>
          </w:p>
        </w:tc>
        <w:tc>
          <w:tcPr>
            <w:tcW w:type="dxa" w:w="4703"/>
          </w:tcPr>
          <w:p>
            <w:r>
              <w:t>ControladorAutenticacion, ServicioAutenticacion, AlmacenTokens, FiltroAutenticacion; login de cada cliente</w:t>
            </w:r>
          </w:p>
        </w:tc>
      </w:tr>
      <w:tr>
        <w:tc>
          <w:tcPr>
            <w:tcW w:type="dxa" w:w="4703"/>
          </w:tcPr>
          <w:p>
            <w:r>
              <w:t>RF-02</w:t>
            </w:r>
          </w:p>
        </w:tc>
        <w:tc>
          <w:tcPr>
            <w:tcW w:type="dxa" w:w="4703"/>
          </w:tcPr>
          <w:p>
            <w:r>
              <w:t>ControladorCatalogo, CatalogoUnidades; pantallas y menú de clientes</w:t>
            </w:r>
          </w:p>
        </w:tc>
      </w:tr>
      <w:tr>
        <w:tc>
          <w:tcPr>
            <w:tcW w:type="dxa" w:w="4703"/>
          </w:tcPr>
          <w:p>
            <w:r>
              <w:t>RF-03 a RF-05</w:t>
            </w:r>
          </w:p>
        </w:tc>
        <w:tc>
          <w:tcPr>
            <w:tcW w:type="dxa" w:w="4703"/>
          </w:tcPr>
          <w:p>
            <w:r>
              <w:t>ControladorConversion, ServicioConversion, conversores por magnitud; controladores cliente</w:t>
            </w:r>
          </w:p>
        </w:tc>
      </w:tr>
      <w:tr>
        <w:tc>
          <w:tcPr>
            <w:tcW w:type="dxa" w:w="4703"/>
          </w:tcPr>
          <w:p>
            <w:r>
              <w:t>RF-08</w:t>
            </w:r>
          </w:p>
        </w:tc>
        <w:tc>
          <w:tcPr>
            <w:tcW w:type="dxa" w:w="4703"/>
          </w:tcPr>
          <w:p>
            <w:r>
              <w:t>SolicitudInicioSesion, SolicitudConversion, ManejadorGlobalExcepciones y presentación de errores en clientes</w:t>
            </w:r>
          </w:p>
        </w:tc>
      </w:tr>
    </w:tbl>
    <w:p/>
    <w:p>
      <w:pPr>
        <w:pStyle w:val="Heading1"/>
      </w:pPr>
      <w:r>
        <w:t>8. Tecnologías verificadas por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Componente</w:t>
            </w:r>
          </w:p>
        </w:tc>
        <w:tc>
          <w:tcPr>
            <w:tcW w:type="dxa" w:w="4703"/>
          </w:tcPr>
          <w:p>
            <w:r>
              <w:t>Tecnologías del proyecto</w:t>
            </w:r>
          </w:p>
        </w:tc>
      </w:tr>
      <w:tr>
        <w:tc>
          <w:tcPr>
            <w:tcW w:type="dxa" w:w="4703"/>
          </w:tcPr>
          <w:p>
            <w:r>
              <w:t>Servidor</w:t>
            </w:r>
          </w:p>
        </w:tc>
        <w:tc>
          <w:tcPr>
            <w:tcW w:type="dxa" w:w="4703"/>
          </w:tcPr>
          <w:p>
            <w:r>
              <w:t>Java 21; Spring Boot 3.5.5; Spring Web y Validation; Maven; OpenAPI 2.8.9.</w:t>
            </w:r>
          </w:p>
        </w:tc>
      </w:tr>
      <w:tr>
        <w:tc>
          <w:tcPr>
            <w:tcW w:type="dxa" w:w="4703"/>
          </w:tcPr>
          <w:p>
            <w:r>
              <w:t>Consola</w:t>
            </w:r>
          </w:p>
        </w:tc>
        <w:tc>
          <w:tcPr>
            <w:tcW w:type="dxa" w:w="4703"/>
          </w:tcPr>
          <w:p>
            <w:r>
              <w:t>Java SE 21; java.net.http.HttpClient; Jackson 2.19.2.</w:t>
            </w:r>
          </w:p>
        </w:tc>
      </w:tr>
      <w:tr>
        <w:tc>
          <w:tcPr>
            <w:tcW w:type="dxa" w:w="4703"/>
          </w:tcPr>
          <w:p>
            <w:r>
              <w:t>Escritorio</w:t>
            </w:r>
          </w:p>
        </w:tc>
        <w:tc>
          <w:tcPr>
            <w:tcW w:type="dxa" w:w="4703"/>
          </w:tcPr>
          <w:p>
            <w:r>
              <w:t>Java 21; Swing; java.net.http.HttpClient; Jackson 2.19.2.</w:t>
            </w:r>
          </w:p>
        </w:tc>
      </w:tr>
      <w:tr>
        <w:tc>
          <w:tcPr>
            <w:tcW w:type="dxa" w:w="4703"/>
          </w:tcPr>
          <w:p>
            <w:r>
              <w:t>Web</w:t>
            </w:r>
          </w:p>
        </w:tc>
        <w:tc>
          <w:tcPr>
            <w:tcW w:type="dxa" w:w="4703"/>
          </w:tcPr>
          <w:p>
            <w:r>
              <w:t>Java 21; JSP/Servlet Jakarta 6.0.0; WAR; HttpClient y Jackson 2.19.2.</w:t>
            </w:r>
          </w:p>
        </w:tc>
      </w:tr>
      <w:tr>
        <w:tc>
          <w:tcPr>
            <w:tcW w:type="dxa" w:w="4703"/>
          </w:tcPr>
          <w:p>
            <w:r>
              <w:t>Android</w:t>
            </w:r>
          </w:p>
        </w:tc>
        <w:tc>
          <w:tcPr>
            <w:tcW w:type="dxa" w:w="4703"/>
          </w:tcPr>
          <w:p>
            <w:r>
              <w:t>Java 17; Android SDK min 24/compile y target 35; Retrofit/Gson 2.11.0; Android Gradle Plugin 8.9.1.</w:t>
            </w:r>
          </w:p>
        </w:tc>
      </w:tr>
    </w:tbl>
    <w:p>
      <w:r>
        <w:t>Las versiones se toman de los archivos pom.xml, build.gradle.kts y configuración del servidor del proyecto.</w:t>
      </w:r>
    </w:p>
    <w:p>
      <w:pPr>
        <w:pStyle w:val="Heading1"/>
      </w:pPr>
      <w:r>
        <w:t>9. Definiciones y abreviaturas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Término</w:t>
            </w:r>
          </w:p>
        </w:tc>
        <w:tc>
          <w:tcPr>
            <w:tcW w:type="dxa" w:w="4703"/>
          </w:tcPr>
          <w:p>
            <w:r>
              <w:t>Definición</w:t>
            </w:r>
          </w:p>
        </w:tc>
      </w:tr>
      <w:tr>
        <w:tc>
          <w:tcPr>
            <w:tcW w:type="dxa" w:w="4703"/>
          </w:tcPr>
          <w:p>
            <w:r>
              <w:t>REST</w:t>
            </w:r>
          </w:p>
        </w:tc>
        <w:tc>
          <w:tcPr>
            <w:tcW w:type="dxa" w:w="4703"/>
          </w:tcPr>
          <w:p>
            <w:r>
              <w:t>Estilo de API sobre HTTP.</w:t>
            </w:r>
          </w:p>
        </w:tc>
      </w:tr>
      <w:tr>
        <w:tc>
          <w:tcPr>
            <w:tcW w:type="dxa" w:w="4703"/>
          </w:tcPr>
          <w:p>
            <w:r>
              <w:t>JSON</w:t>
            </w:r>
          </w:p>
        </w:tc>
        <w:tc>
          <w:tcPr>
            <w:tcW w:type="dxa" w:w="4703"/>
          </w:tcPr>
          <w:p>
            <w:r>
              <w:t>Formato de intercambio de datos de la API.</w:t>
            </w:r>
          </w:p>
        </w:tc>
      </w:tr>
      <w:tr>
        <w:tc>
          <w:tcPr>
            <w:tcW w:type="dxa" w:w="4703"/>
          </w:tcPr>
          <w:p>
            <w:r>
              <w:t>MVC</w:t>
            </w:r>
          </w:p>
        </w:tc>
        <w:tc>
          <w:tcPr>
            <w:tcW w:type="dxa" w:w="4703"/>
          </w:tcPr>
          <w:p>
            <w:r>
              <w:t>Modelo-Vista-Controlador; organiza responsabilidades del cliente.</w:t>
            </w:r>
          </w:p>
        </w:tc>
      </w:tr>
      <w:tr>
        <w:tc>
          <w:tcPr>
            <w:tcW w:type="dxa" w:w="4703"/>
          </w:tcPr>
          <w:p>
            <w:r>
              <w:t>DTO</w:t>
            </w:r>
          </w:p>
        </w:tc>
        <w:tc>
          <w:tcPr>
            <w:tcW w:type="dxa" w:w="4703"/>
          </w:tcPr>
          <w:p>
            <w:r>
              <w:t>Objeto de transferencia usado para solicitudes y respuestas.</w:t>
            </w:r>
          </w:p>
        </w:tc>
      </w:tr>
      <w:tr>
        <w:tc>
          <w:tcPr>
            <w:tcW w:type="dxa" w:w="4703"/>
          </w:tcPr>
          <w:p>
            <w:r>
              <w:t>Token Bearer</w:t>
            </w:r>
          </w:p>
        </w:tc>
        <w:tc>
          <w:tcPr>
            <w:tcW w:type="dxa" w:w="4703"/>
          </w:tcPr>
          <w:p>
            <w:r>
              <w:t>Credencial temporal enviada en Authorization.</w:t>
            </w:r>
          </w:p>
        </w:tc>
      </w:tr>
      <w:tr>
        <w:tc>
          <w:tcPr>
            <w:tcW w:type="dxa" w:w="4703"/>
          </w:tcPr>
          <w:p>
            <w:r>
              <w:t>BDD</w:t>
            </w:r>
          </w:p>
        </w:tc>
        <w:tc>
          <w:tcPr>
            <w:tcW w:type="dxa" w:w="4703"/>
          </w:tcPr>
          <w:p>
            <w:r>
              <w:t>Base de datos; no se implementa en este proyecto.</w:t>
            </w:r>
          </w:p>
        </w:tc>
      </w:tr>
    </w:tbl>
    <w:p/>
    <w:p>
      <w:pPr>
        <w:pStyle w:val="Heading1"/>
      </w:pPr>
      <w:r>
        <w:t>10. Referencias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Fuente</w:t>
            </w:r>
          </w:p>
        </w:tc>
        <w:tc>
          <w:tcPr>
            <w:tcW w:type="dxa" w:w="4703"/>
          </w:tcPr>
          <w:p>
            <w:r>
              <w:t>Uso en este ERS</w:t>
            </w:r>
          </w:p>
        </w:tc>
      </w:tr>
      <w:tr>
        <w:tc>
          <w:tcPr>
            <w:tcW w:type="dxa" w:w="4703"/>
          </w:tcPr>
          <w:p>
            <w:r>
              <w:t>Código del servidor</w:t>
            </w:r>
          </w:p>
        </w:tc>
        <w:tc>
          <w:tcPr>
            <w:tcW w:type="dxa" w:w="4703"/>
          </w:tcPr>
          <w:p>
            <w:r>
              <w:t>04. SERVIDOR/WS_ConUni_Java_REST: pom.xml, application.properties, controladores y DTO.</w:t>
            </w:r>
          </w:p>
        </w:tc>
      </w:tr>
      <w:tr>
        <w:tc>
          <w:tcPr>
            <w:tcW w:type="dxa" w:w="4703"/>
          </w:tcPr>
          <w:p>
            <w:r>
              <w:t>Clientes</w:t>
            </w:r>
          </w:p>
        </w:tc>
        <w:tc>
          <w:tcPr>
            <w:tcW w:type="dxa" w:w="4703"/>
          </w:tcPr>
          <w:p>
            <w:r>
              <w:t>POM de consola/escritorio/web y build.gradle.kts del cliente Android.</w:t>
            </w:r>
          </w:p>
        </w:tc>
      </w:tr>
      <w:tr>
        <w:tc>
          <w:tcPr>
            <w:tcW w:type="dxa" w:w="4703"/>
          </w:tcPr>
          <w:p>
            <w:r>
              <w:t>Arquitectura del proyecto</w:t>
            </w:r>
          </w:p>
        </w:tc>
        <w:tc>
          <w:tcPr>
            <w:tcW w:type="dxa" w:w="4703"/>
          </w:tcPr>
          <w:p>
            <w:r>
              <w:t>Separación en controladores, servicios, modelos, vistas y servicios HTTP observada en los módulos Java del proyecto.</w:t>
            </w:r>
          </w:p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