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ERS — Conversor de Unidades Monster</w:t>
      </w:r>
    </w:p>
    <w:p>
      <w:pPr>
        <w:jc w:val="center"/>
      </w:pPr>
      <w:r>
        <w:t>Arquitectura orientada a servicios SOAP en .NET, sin base de datos</w:t>
      </w:r>
    </w:p>
    <w:p>
      <w:r>
        <w:t>TI.1.1 | PAO202651 | NRC36884 | GR09</w:t>
      </w:r>
    </w:p>
    <w:p>
      <w:r>
        <w:t xml:space="preserve">Requisitos del sistema | Stack implementado del servidor y los cuatro clientes</w:t>
      </w:r>
    </w:p>
    <w:p>
      <w:pPr>
        <w:pStyle w:val="Heading1"/>
      </w:pPr>
      <w:r>
        <w:t>1. Propósito y alcance</w:t>
      </w:r>
    </w:p>
    <w:p>
      <w:r>
        <w:t>El sistema Conversor de Unidades Monster centraliza conversiones de longitud, masa y temperatura en un servidor SOA con SOAP. Cuatro clientes —consola, escritorio, navegador y Android— solicitan autenticación y conversiones. El proyecto no implementa base de datos.</w:t>
      </w:r>
    </w:p>
    <w:p>
      <w:r>
        <w:t xml:space="preserve">Este documento define los requisitos del conversor y registra el stack implementado en el servidor y sus cuatro clientes. No incluye mantenimiento de vehículos, roles de taller, facturación ni divisas.</w:t>
      </w:r>
    </w:p>
    <w:p>
      <w:pPr>
        <w:pStyle w:val="Heading1"/>
      </w:pPr>
      <w:r>
        <w:t>2. Actores y arquitectura</w:t>
      </w:r>
    </w:p>
    <w:p>
      <w:r>
        <w:t>Actor principal: usuario final. Inicia sesión, consulta unidades, convierte magnitudes y cierra o pierde una sesión.</w:t>
      </w:r>
    </w:p>
    <w:p>
      <w:r>
        <w:t>El servidor aplica SOA sobre MVC: los modelos y enumeraciones representan unidades, solicitudes y respuestas; los controladores SOAP publican operaciones y coordinan los servicios; los servicios contienen autenticación y conversiones. Cada cliente sigue MVC explícito con modelo, vista, controlador y adaptador SOAP. Los clientes forman la capa de presentación; el servidor no tiene interfaz gráfica. En el servidor, las responsabilidades se organizan en Modelos, Controladores, Servicios y Seguridad.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Tecnología declarada</w:t>
            </w:r>
          </w:p>
        </w:tc>
      </w:tr>
      <w:tr>
        <w:tc>
          <w:tcPr>
            <w:tcW w:type="dxa" w:w="4703"/>
          </w:tcPr>
          <w:p>
            <w:r>
              <w:t>Servidor</w:t>
            </w:r>
          </w:p>
        </w:tc>
        <w:tc>
          <w:tcPr>
            <w:tcW w:type="dxa" w:w="4703"/>
          </w:tcPr>
          <w:p>
            <w:r>
              <w:rPr/>
              <w:t>C# 14, .NET 10 LTS, ASP.NET Core 10, CoreWCF 1.9.1 y Kestrel.</w:t>
            </w:r>
          </w:p>
        </w:tc>
      </w:tr>
      <w:tr>
        <w:tc>
          <w:tcPr>
            <w:tcW w:type="dxa" w:w="4703"/>
          </w:tcPr>
          <w:p>
            <w:r>
              <w:t>Consola</w:t>
            </w:r>
          </w:p>
        </w:tc>
        <w:tc>
          <w:tcPr>
            <w:tcW w:type="dxa" w:w="4703"/>
          </w:tcPr>
          <w:p>
            <w:r>
              <w:t xml:space="preserve">.NET 10 y C# 14; cliente de consola MVC con consumo SOAP 1.1.</w:t>
            </w:r>
          </w:p>
        </w:tc>
      </w:tr>
      <w:tr>
        <w:tc>
          <w:tcPr>
            <w:tcW w:type="dxa" w:w="4703"/>
          </w:tcPr>
          <w:p>
            <w:r>
              <w:t>Escritorio</w:t>
            </w:r>
          </w:p>
        </w:tc>
        <w:tc>
          <w:tcPr>
            <w:tcW w:type="dxa" w:w="4703"/>
          </w:tcPr>
          <w:p>
            <w:r>
              <w:t xml:space="preserve">WPF sobre .NET 10 y C# 14; cliente de escritorio MVC con consumo SOAP 1.1.</w:t>
            </w:r>
          </w:p>
        </w:tc>
      </w:tr>
      <w:tr>
        <w:tc>
          <w:tcPr>
            <w:tcW w:type="dxa" w:w="4703"/>
          </w:tcPr>
          <w:p>
            <w:r>
              <w:t>Web</w:t>
            </w:r>
          </w:p>
        </w:tc>
        <w:tc>
          <w:tcPr>
            <w:tcW w:type="dxa" w:w="4703"/>
          </w:tcPr>
          <w:p>
            <w:r>
              <w:t xml:space="preserve">ASP.NET Core MVC sobre .NET 10 y C# 14; interfaz web con sesión temporal.</w:t>
            </w:r>
          </w:p>
        </w:tc>
      </w:tr>
      <w:tr>
        <w:tc>
          <w:tcPr>
            <w:tcW w:type="dxa" w:w="4703"/>
          </w:tcPr>
          <w:p>
            <w:r>
              <w:t>Móvil</w:t>
            </w:r>
          </w:p>
        </w:tc>
        <w:tc>
          <w:tcPr>
            <w:tcW w:type="dxa" w:w="4703"/>
          </w:tcPr>
          <w:p>
            <w:r>
              <w:t xml:space="preserve">.NET MAUI 10 con C# 14 para Android; cliente móvil MVC con consumo SOAP 1.1.</w:t>
            </w:r>
          </w:p>
        </w:tc>
      </w:tr>
    </w:tbl>
    <w:p/>
    <w:p>
      <w:pPr>
        <w:pStyle w:val="Heading1"/>
      </w:pPr>
      <w:r>
        <w:t>3.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Criterio de aceptación</w:t>
            </w:r>
          </w:p>
        </w:tc>
      </w:tr>
      <w:tr>
        <w:tc>
          <w:tcPr>
            <w:tcW w:type="dxa" w:w="3135"/>
          </w:tcPr>
          <w:p>
            <w:r>
              <w:t>RF-01</w:t>
            </w:r>
          </w:p>
        </w:tc>
        <w:tc>
          <w:tcPr>
            <w:tcW w:type="dxa" w:w="3135"/>
          </w:tcPr>
          <w:p>
            <w:r>
              <w:t>Autenticación</w:t>
            </w:r>
          </w:p>
        </w:tc>
        <w:tc>
          <w:tcPr>
            <w:tcW w:type="dxa" w:w="3135"/>
          </w:tcPr>
          <w:p>
            <w:r>
              <w:t>Validar las credenciales de un usuario y emitir token temporal.</w:t>
            </w:r>
          </w:p>
        </w:tc>
      </w:tr>
      <w:tr>
        <w:tc>
          <w:tcPr>
            <w:tcW w:type="dxa" w:w="3135"/>
          </w:tcPr>
          <w:p>
            <w:r>
              <w:t>RF-02</w:t>
            </w:r>
          </w:p>
        </w:tc>
        <w:tc>
          <w:tcPr>
            <w:tcW w:type="dxa" w:w="3135"/>
          </w:tcPr>
          <w:p>
            <w:r>
              <w:t>Catálogo</w:t>
            </w:r>
          </w:p>
        </w:tc>
        <w:tc>
          <w:tcPr>
            <w:tcW w:type="dxa" w:w="3135"/>
          </w:tcPr>
          <w:p>
            <w:r>
              <w:rPr/>
              <w:t>Mostrar en los cuatro clientes las magnitudes y unidades del catálogo definido en este proyecto.</w:t>
            </w:r>
          </w:p>
        </w:tc>
      </w:tr>
      <w:tr>
        <w:tc>
          <w:tcPr>
            <w:tcW w:type="dxa" w:w="3135"/>
          </w:tcPr>
          <w:p>
            <w:r>
              <w:t>RF-03</w:t>
            </w:r>
          </w:p>
        </w:tc>
        <w:tc>
          <w:tcPr>
            <w:tcW w:type="dxa" w:w="3135"/>
          </w:tcPr>
          <w:p>
            <w:r>
              <w:t>Longitud</w:t>
            </w:r>
          </w:p>
        </w:tc>
        <w:tc>
          <w:tcPr>
            <w:tcW w:type="dxa" w:w="3135"/>
          </w:tcPr>
          <w:p>
            <w:r>
              <w:rPr/>
              <w:t>Convertir milímetros, centímetros, metros, kilómetros, pies, yardas y millas.</w:t>
            </w:r>
          </w:p>
        </w:tc>
      </w:tr>
      <w:tr>
        <w:tc>
          <w:tcPr>
            <w:tcW w:type="dxa" w:w="3135"/>
          </w:tcPr>
          <w:p>
            <w:r>
              <w:t>RF-04</w:t>
            </w:r>
          </w:p>
        </w:tc>
        <w:tc>
          <w:tcPr>
            <w:tcW w:type="dxa" w:w="3135"/>
          </w:tcPr>
          <w:p>
            <w:r>
              <w:t>Masa</w:t>
            </w:r>
          </w:p>
        </w:tc>
        <w:tc>
          <w:tcPr>
            <w:tcW w:type="dxa" w:w="3135"/>
          </w:tcPr>
          <w:p>
            <w:r>
              <w:rPr/>
              <w:t>Convertir miligramos, gramos, kilogramos, toneladas, onzas, libras y quintales.</w:t>
            </w:r>
          </w:p>
        </w:tc>
      </w:tr>
      <w:tr>
        <w:tc>
          <w:tcPr>
            <w:tcW w:type="dxa" w:w="3135"/>
          </w:tcPr>
          <w:p>
            <w:r>
              <w:t>RF-05</w:t>
            </w:r>
          </w:p>
        </w:tc>
        <w:tc>
          <w:tcPr>
            <w:tcW w:type="dxa" w:w="3135"/>
          </w:tcPr>
          <w:p>
            <w:r>
              <w:t>Temperatura</w:t>
            </w:r>
          </w:p>
        </w:tc>
        <w:tc>
          <w:tcPr>
            <w:tcW w:type="dxa" w:w="3135"/>
          </w:tcPr>
          <w:p>
            <w:r>
              <w:rPr/>
              <w:t>Convertir Celsius, Fahrenheit, Kelvin, Rankine, Newton y Réaumur.</w:t>
            </w:r>
          </w:p>
        </w:tc>
      </w:tr>
      <w:tr>
        <w:tc>
          <w:tcPr>
            <w:tcW w:type="dxa" w:w="3135"/>
          </w:tcPr>
          <w:p>
            <w:r>
              <w:t>RF-06</w:t>
            </w:r>
          </w:p>
        </w:tc>
        <w:tc>
          <w:tcPr>
            <w:tcW w:type="dxa" w:w="3135"/>
          </w:tcPr>
          <w:p>
            <w:r>
              <w:t>Autorización</w:t>
            </w:r>
          </w:p>
        </w:tc>
        <w:tc>
          <w:tcPr>
            <w:tcW w:type="dxa" w:w="3135"/>
          </w:tcPr>
          <w:p>
            <w:r>
              <w:t>Rechazar conversiones sin token o con token inválido/expirado.</w:t>
            </w:r>
          </w:p>
        </w:tc>
      </w:tr>
      <w:tr>
        <w:tc>
          <w:tcPr>
            <w:tcW w:type="dxa" w:w="3135"/>
          </w:tcPr>
          <w:p>
            <w:r>
              <w:t>RF-07</w:t>
            </w:r>
          </w:p>
        </w:tc>
        <w:tc>
          <w:tcPr>
            <w:tcW w:type="dxa" w:w="3135"/>
          </w:tcPr>
          <w:p>
            <w:r>
              <w:t>Errores</w:t>
            </w:r>
          </w:p>
        </w:tc>
        <w:tc>
          <w:tcPr>
            <w:tcW w:type="dxa" w:w="3135"/>
          </w:tcPr>
          <w:p>
            <w:r>
              <w:t>Rechaza valores no finitos, masa negativa, unidades no soportadas, credenciales incorrectas y contraseñas nuevas vacías mediante fallos SOAP/XML.</w:t>
            </w:r>
          </w:p>
        </w:tc>
      </w:tr>
    </w:tbl>
    <w:p/>
    <w:p>
      <w:pPr>
        <w:pStyle w:val="Heading1"/>
      </w:pPr>
      <w:r>
        <w:t>4.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Requisito</w:t>
            </w:r>
          </w:p>
        </w:tc>
      </w:tr>
      <w:tr>
        <w:tc>
          <w:tcPr>
            <w:tcW w:type="dxa" w:w="4703"/>
          </w:tcPr>
          <w:p>
            <w:r>
              <w:t>RNF-01</w:t>
            </w:r>
          </w:p>
        </w:tc>
        <w:tc>
          <w:tcPr>
            <w:tcW w:type="dxa" w:w="4703"/>
          </w:tcPr>
          <w:p>
            <w:r>
              <w:rPr/>
              <w:t>C# 14, .NET 10 LTS, ASP.NET Core 10, CoreWCF 1.9.1 y Kestrel.</w:t>
            </w:r>
          </w:p>
        </w:tc>
      </w:tr>
      <w:tr>
        <w:tc>
          <w:tcPr>
            <w:tcW w:type="dxa" w:w="4703"/>
          </w:tcPr>
          <w:p>
            <w:r>
              <w:t>RNF-02</w:t>
            </w:r>
          </w:p>
        </w:tc>
        <w:tc>
          <w:tcPr>
            <w:tcW w:type="dxa" w:w="4703"/>
          </w:tcPr>
          <w:p>
            <w:r>
              <w:rPr/>
              <w:t>SOAP/XML sobre HTTP con WSDL. Las operaciones protegidas reciben el token en un encabezado SOAP llamado token.</w:t>
            </w:r>
          </w:p>
        </w:tc>
      </w:tr>
      <w:tr>
        <w:tc>
          <w:tcPr>
            <w:tcW w:type="dxa" w:w="4703"/>
          </w:tcPr>
          <w:p>
            <w:r>
              <w:t>RNF-03</w:t>
            </w:r>
          </w:p>
        </w:tc>
        <w:tc>
          <w:tcPr>
            <w:tcW w:type="dxa" w:w="4703"/>
          </w:tcPr>
          <w:p>
            <w:r>
              <w:t>No se utilizará base de datos; catálogo y estado de autenticación se mantienen en memoria.</w:t>
            </w:r>
          </w:p>
        </w:tc>
      </w:tr>
      <w:tr>
        <w:tc>
          <w:tcPr>
            <w:tcW w:type="dxa" w:w="4703"/>
          </w:tcPr>
          <w:p>
            <w:r>
              <w:t>RNF-04</w:t>
            </w:r>
          </w:p>
        </w:tc>
        <w:tc>
          <w:tcPr>
            <w:tcW w:type="dxa" w:w="4703"/>
          </w:tcPr>
          <w:p>
            <w:r>
              <w:rPr/>
              <w:t>El token vence 15 minutos después de su emisión.</w:t>
            </w:r>
          </w:p>
        </w:tc>
      </w:tr>
      <w:tr>
        <w:tc>
          <w:tcPr>
            <w:tcW w:type="dxa" w:w="4703"/>
          </w:tcPr>
          <w:p>
            <w:r>
              <w:t>RNF-05</w:t>
            </w:r>
          </w:p>
        </w:tc>
        <w:tc>
          <w:tcPr>
            <w:tcW w:type="dxa" w:w="4703"/>
          </w:tcPr>
          <w:p>
            <w:r>
              <w:t>Los cuatro clientes aplicarán MVC y separarán la interfaz de usuario del consumo del servicio.</w:t>
            </w:r>
          </w:p>
        </w:tc>
      </w:tr>
      <w:tr>
        <w:tc>
          <w:tcPr>
            <w:tcW w:type="dxa" w:w="4703"/>
          </w:tcPr>
          <w:p>
            <w:r>
              <w:t>RNF-06</w:t>
            </w:r>
          </w:p>
        </w:tc>
        <w:tc>
          <w:tcPr>
            <w:tcW w:type="dxa" w:w="4703"/>
          </w:tcPr>
          <w:p>
            <w:r>
              <w:t>Los fallos SOAP/XML describen el motivo sin exponer secretos.</w:t>
            </w:r>
          </w:p>
        </w:tc>
      </w:tr>
    </w:tbl>
    <w:p/>
    <w:p>
      <w:pPr>
        <w:pStyle w:val="Heading1"/>
      </w:pPr>
      <w:r>
        <w:t>5. Interfaz de servicio</w:t>
      </w:r>
    </w:p>
    <w:p>
      <w:r>
        <w:t>Autenticación por token temporal y errores representados mediante fallos SOAP/XML. El servidor CoreWCF publica las operaciones y tipos de datos en WSDL.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Operación lógica</w:t>
            </w:r>
          </w:p>
        </w:tc>
        <w:tc>
          <w:tcPr>
            <w:tcW w:type="dxa" w:w="3135"/>
          </w:tcPr>
          <w:p>
            <w:r>
              <w:t>Acceso</w:t>
            </w:r>
          </w:p>
        </w:tc>
        <w:tc>
          <w:tcPr>
            <w:tcW w:type="dxa" w:w="3135"/>
          </w:tcPr>
          <w:p>
            <w:r>
              <w:t>Datos principales</w:t>
            </w:r>
          </w:p>
        </w:tc>
      </w:tr>
      <w:tr>
        <w:tc>
          <w:tcPr>
            <w:tcW w:type="dxa" w:w="3135"/>
          </w:tcPr>
          <w:p>
            <w:r>
              <w:t>Iniciar sesión</w:t>
            </w:r>
          </w:p>
        </w:tc>
        <w:tc>
          <w:tcPr>
            <w:tcW w:type="dxa" w:w="3135"/>
          </w:tcPr>
          <w:p>
            <w:r>
              <w:t>Público</w:t>
            </w:r>
          </w:p>
        </w:tc>
        <w:tc>
          <w:tcPr>
            <w:tcW w:type="dxa" w:w="3135"/>
          </w:tcPr>
          <w:p>
            <w:r>
              <w:rPr/>
              <w:t>login(usuario, contrasenia); devuelve un token temporal.</w:t>
            </w:r>
          </w:p>
        </w:tc>
      </w:tr>
      <w:tr>
        <w:tc>
          <w:tcPr>
            <w:tcW w:type="dxa" w:w="3135"/>
          </w:tcPr>
          <w:p>
            <w:r>
              <w:rPr/>
              <w:t>Cambiar contraseña</w:t>
            </w:r>
          </w:p>
        </w:tc>
        <w:tc>
          <w:tcPr>
            <w:tcW w:type="dxa" w:w="3135"/>
          </w:tcPr>
          <w:p>
            <w:r>
              <w:rPr/>
              <w:t>Token</w:t>
            </w:r>
          </w:p>
        </w:tc>
        <w:tc>
          <w:tcPr>
            <w:tcW w:type="dxa" w:w="3135"/>
          </w:tcPr>
          <w:p>
            <w:r>
              <w:rPr/>
              <w:t>cambiarContrasenia(contraseniaActual, contraseniaNueva); devuelve confirmación.</w:t>
            </w:r>
          </w:p>
        </w:tc>
      </w:tr>
      <w:tr>
        <w:tc>
          <w:tcPr>
            <w:tcW w:type="dxa" w:w="3135"/>
          </w:tcPr>
          <w:p>
            <w:r>
              <w:rPr/>
              <w:t>Convertir longitud</w:t>
            </w:r>
          </w:p>
        </w:tc>
        <w:tc>
          <w:tcPr>
            <w:tcW w:type="dxa" w:w="3135"/>
          </w:tcPr>
          <w:p>
            <w:r>
              <w:t>Token</w:t>
            </w:r>
          </w:p>
        </w:tc>
        <w:tc>
          <w:tcPr>
            <w:tcW w:type="dxa" w:w="3135"/>
          </w:tcPr>
          <w:p>
            <w:r>
              <w:rPr/>
              <w:t>convertirLongitud(valor, unidadInicial, unidadFinal); devuelve un número.</w:t>
            </w:r>
          </w:p>
        </w:tc>
      </w:tr>
      <w:tr>
        <w:tc>
          <w:tcPr>
            <w:tcW w:type="dxa" w:w="3135"/>
          </w:tcPr>
          <w:p>
            <w:r>
              <w:t>Convertir masa</w:t>
            </w:r>
          </w:p>
        </w:tc>
        <w:tc>
          <w:tcPr>
            <w:tcW w:type="dxa" w:w="3135"/>
          </w:tcPr>
          <w:p>
            <w:r>
              <w:t>Token</w:t>
            </w:r>
          </w:p>
        </w:tc>
        <w:tc>
          <w:tcPr>
            <w:tcW w:type="dxa" w:w="3135"/>
          </w:tcPr>
          <w:p>
            <w:r>
              <w:rPr/>
              <w:t>convertirMasa(valor, unidadInicial, unidadFinal); devuelve un número.</w:t>
            </w:r>
          </w:p>
        </w:tc>
      </w:tr>
      <w:tr>
        <w:tc>
          <w:tcPr>
            <w:tcW w:type="dxa" w:w="3135"/>
          </w:tcPr>
          <w:p>
            <w:r>
              <w:t>Convertir temperatura</w:t>
            </w:r>
          </w:p>
        </w:tc>
        <w:tc>
          <w:tcPr>
            <w:tcW w:type="dxa" w:w="3135"/>
          </w:tcPr>
          <w:p>
            <w:r>
              <w:t>Token</w:t>
            </w:r>
          </w:p>
        </w:tc>
        <w:tc>
          <w:tcPr>
            <w:tcW w:type="dxa" w:w="3135"/>
          </w:tcPr>
          <w:p>
            <w:r>
              <w:rPr/>
              <w:t>convertirTemperatura(valor, unidadInicial, unidadFinal); devuelve un número.</w:t>
            </w:r>
          </w:p>
        </w:tc>
      </w:tr>
    </w:tbl>
    <w:p/>
    <w:p>
      <w:pPr>
        <w:pStyle w:val="Heading1"/>
      </w:pPr>
      <w:r>
        <w:t>6. Restricciones y datos</w:t>
      </w:r>
    </w:p>
    <w:p>
      <w:r>
        <w:t>El catálogo soporta únicamente las tres magnitudes y unidades listadas en RF-03 a RF-05. No se incluyen registro de usuarios, perfiles de taller, clientes de vehículos, facturas, citas ni consulta de divisas.</w:t>
      </w:r>
    </w:p>
    <w:p>
      <w:r>
        <w:t>Contrato SOAP: login, cambiarContrasenia, convertirLongitud, convertirMasa y convertirTemperatura, bajo http://ws.controladores.monster.edu.ec/. Las operaciones protegidas reciben el encabezado SOAP token. La vigencia es de 15 minutos. Las credenciales iniciales de demostración son Monster / Monster9. No hay operación SOAP de catálogo; cada cliente presenta sus unidades. El endpoint local es http://127.0.0.1:19081/04.SERVIDOR/WSConversionUnidades_DotNet_SOAP_GR09.</w:t>
      </w:r>
    </w:p>
    <w:p>
      <w:pPr>
        <w:pStyle w:val="Heading1"/>
      </w:pPr>
      <w:r>
        <w:t>7.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Requisitos</w:t>
            </w:r>
          </w:p>
        </w:tc>
        <w:tc>
          <w:tcPr>
            <w:tcW w:type="dxa" w:w="4703"/>
          </w:tcPr>
          <w:p>
            <w:r>
              <w:t>Componentes previstos</w:t>
            </w:r>
          </w:p>
        </w:tc>
      </w:tr>
      <w:tr>
        <w:tc>
          <w:tcPr>
            <w:tcW w:type="dxa" w:w="4703"/>
          </w:tcPr>
          <w:p>
            <w:r>
              <w:t>RF-01, RF-06, RNF-04</w:t>
            </w:r>
          </w:p>
        </w:tc>
        <w:tc>
          <w:tcPr>
            <w:tcW w:type="dxa" w:w="4703"/>
          </w:tcPr>
          <w:p>
            <w:r>
              <w:rPr/>
              <w:t>Servicio de autenticación y seguridad; tokens en memoria con vigencia de 15 minutos.</w:t>
            </w:r>
          </w:p>
        </w:tc>
      </w:tr>
      <w:tr>
        <w:tc>
          <w:tcPr>
            <w:tcW w:type="dxa" w:w="4703"/>
          </w:tcPr>
          <w:p>
            <w:r>
              <w:t>RF-02 a RF-05</w:t>
            </w:r>
          </w:p>
        </w:tc>
        <w:tc>
          <w:tcPr>
            <w:tcW w:type="dxa" w:w="4703"/>
          </w:tcPr>
          <w:p>
            <w:r>
              <w:rPr/>
              <w:t>Catálogo visible en cada cliente; modelos de unidades, controladores SOAP y servicios de conversión.</w:t>
            </w:r>
          </w:p>
        </w:tc>
      </w:tr>
      <w:tr>
        <w:tc>
          <w:tcPr>
            <w:tcW w:type="dxa" w:w="4703"/>
          </w:tcPr>
          <w:p>
            <w:r>
              <w:t>RF-07</w:t>
            </w:r>
          </w:p>
        </w:tc>
        <w:tc>
          <w:tcPr>
            <w:tcW w:type="dxa" w:w="4703"/>
          </w:tcPr>
          <w:p>
            <w:r>
              <w:rPr/>
              <w:t>Validación de entradas y errores SOAP/XML sin exponer secretos.</w:t>
            </w:r>
          </w:p>
        </w:tc>
      </w:tr>
      <w:tr>
        <w:tc>
          <w:tcPr>
            <w:tcW w:type="dxa" w:w="4703"/>
          </w:tcPr>
          <w:p>
            <w:r>
              <w:t>RNF-05</w:t>
            </w:r>
          </w:p>
        </w:tc>
        <w:tc>
          <w:tcPr>
            <w:tcW w:type="dxa" w:w="4703"/>
          </w:tcPr>
          <w:p>
            <w:r>
              <w:t>Modelo, vista, controlador y servicio/adaptador en cada cliente.</w:t>
            </w:r>
          </w:p>
        </w:tc>
      </w:tr>
    </w:tbl>
    <w:p/>
    <w:p>
      <w:pPr>
        <w:pStyle w:val="Heading1"/>
      </w:pPr>
      <w:r>
        <w:t>8. Definiciones y abreviaturas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Término</w:t>
            </w:r>
          </w:p>
        </w:tc>
        <w:tc>
          <w:tcPr>
            <w:tcW w:type="dxa" w:w="4703"/>
          </w:tcPr>
          <w:p>
            <w:r>
              <w:t>Definición</w:t>
            </w:r>
          </w:p>
        </w:tc>
      </w:tr>
      <w:tr>
        <w:tc>
          <w:tcPr>
            <w:tcW w:type="dxa" w:w="4703"/>
          </w:tcPr>
          <w:p>
            <w:r>
              <w:t>SOA</w:t>
            </w:r>
          </w:p>
        </w:tc>
        <w:tc>
          <w:tcPr>
            <w:tcW w:type="dxa" w:w="4703"/>
          </w:tcPr>
          <w:p>
            <w:r>
              <w:t>Arquitectura orientada a servicios.</w:t>
            </w:r>
          </w:p>
        </w:tc>
      </w:tr>
      <w:tr>
        <w:tc>
          <w:tcPr>
            <w:tcW w:type="dxa" w:w="4703"/>
          </w:tcPr>
          <w:p>
            <w:r>
              <w:t>SOAP</w:t>
            </w:r>
          </w:p>
        </w:tc>
        <w:tc>
          <w:tcPr>
            <w:tcW w:type="dxa" w:w="4703"/>
          </w:tcPr>
          <w:p>
            <w:r>
              <w:t>Protocolo de mensajería XML para servicios web.</w:t>
            </w:r>
          </w:p>
        </w:tc>
      </w:tr>
      <w:tr>
        <w:tc>
          <w:tcPr>
            <w:tcW w:type="dxa" w:w="4703"/>
          </w:tcPr>
          <w:p>
            <w:r>
              <w:t>WSDL</w:t>
            </w:r>
          </w:p>
        </w:tc>
        <w:tc>
          <w:tcPr>
            <w:tcW w:type="dxa" w:w="4703"/>
          </w:tcPr>
          <w:p>
            <w:r>
              <w:t>Contrato XML de operaciones y tipos del servicio SOAP.</w:t>
            </w:r>
          </w:p>
        </w:tc>
      </w:tr>
      <w:tr>
        <w:tc>
          <w:tcPr>
            <w:tcW w:type="dxa" w:w="4703"/>
          </w:tcPr>
          <w:p>
            <w:r>
              <w:t>MVC</w:t>
            </w:r>
          </w:p>
        </w:tc>
        <w:tc>
          <w:tcPr>
            <w:tcW w:type="dxa" w:w="4703"/>
          </w:tcPr>
          <w:p>
            <w:r>
              <w:t>Modelo-Vista-Controlador, requerido en cada cliente.</w:t>
            </w:r>
          </w:p>
        </w:tc>
      </w:tr>
      <w:tr>
        <w:tc>
          <w:tcPr>
            <w:tcW w:type="dxa" w:w="4703"/>
          </w:tcPr>
          <w:p>
            <w:r>
              <w:t>Token</w:t>
            </w:r>
          </w:p>
        </w:tc>
        <w:tc>
          <w:tcPr>
            <w:tcW w:type="dxa" w:w="4703"/>
          </w:tcPr>
          <w:p>
            <w:r>
              <w:rPr/>
              <w:t>Credencial temporal enviada en el encabezado SOAP token; vence en 15 minutos.</w:t>
            </w:r>
          </w:p>
        </w:tc>
      </w:tr>
      <w:tr>
        <w:tc>
          <w:tcPr>
            <w:tcW w:type="dxa" w:w="4703"/>
          </w:tcPr>
          <w:p>
            <w:r>
              <w:t>BDD</w:t>
            </w:r>
          </w:p>
        </w:tc>
        <w:tc>
          <w:tcPr>
            <w:tcW w:type="dxa" w:w="4703"/>
          </w:tcPr>
          <w:p>
            <w:r>
              <w:t>Base de datos; excluida del alcance.</w:t>
            </w:r>
          </w:p>
        </w:tc>
      </w:tr>
    </w:tbl>
    <w:p/>
    <w:p>
      <w:pPr>
        <w:pStyle w:val="Heading1"/>
      </w:pPr>
      <w:r>
        <w:t>9. Referencias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Fuente</w:t>
            </w:r>
          </w:p>
        </w:tc>
        <w:tc>
          <w:tcPr>
            <w:tcW w:type="dxa" w:w="4703"/>
          </w:tcPr>
          <w:p>
            <w:r>
              <w:t>Uso en este ERS</w:t>
            </w:r>
          </w:p>
        </w:tc>
      </w:tr>
      <w:tr>
        <w:tc>
          <w:tcPr>
            <w:tcW w:type="dxa" w:w="4703"/>
          </w:tcPr>
          <w:p>
            <w:r>
              <w:rPr/>
              <w:t>Fuente tecnológica</w:t>
            </w:r>
          </w:p>
        </w:tc>
        <w:tc>
          <w:tcPr>
            <w:tcW w:type="dxa" w:w="4703"/>
          </w:tcPr>
          <w:p>
            <w:r>
              <w:rPr/>
              <w:t xml:space="preserve">Microsoft Learn: .NET 10 LTS, https://learn.microsoft.com/dotnet/core/releases-and-support; CoreWCF 1.9.1, https://github.com/CoreWCF/CoreWCF/releases/tag/v1.9.1; ASP.NET Core MVC 10, https://learn.microsoft.com/aspnet/core/mvc/overview?view=aspnetcore-10.0; WPF, https://learn.microsoft.com/dotnet/desktop/wpf/overview/; .NET MAUI 10, https://learn.microsoft.com/dotnet/maui/whats-new/dotnet-10?view=net-maui-10.0.</w:t>
            </w:r>
          </w:p>
        </w:tc>
      </w:tr>
      <w:tr>
        <w:tc>
          <w:tcPr>
            <w:tcW w:type="dxa" w:w="4703"/>
          </w:tcPr>
          <w:p>
            <w:r>
              <w:rPr/>
              <w:t>Contrato funcional</w:t>
            </w:r>
          </w:p>
        </w:tc>
        <w:tc>
          <w:tcPr>
            <w:tcW w:type="dxa" w:w="4703"/>
          </w:tcPr>
          <w:p>
            <w:r>
              <w:rPr/>
              <w:t>Operaciones, unidades, credenciales de demostración y vigencia definidos para este conversor.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