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087E8B"/>
          <w:sz w:val="26"/>
        </w:rPr>
        <w:t>MANUAL TÉCNICO</w:t>
      </w:r>
    </w:p>
    <w:p>
      <w:pPr>
        <w:pStyle w:val="Title"/>
        <w:jc w:val="center"/>
      </w:pPr>
      <w:r>
        <w:t>Conversor de Unidades Monster</w:t>
      </w:r>
    </w:p>
    <w:p>
      <w:pPr>
        <w:jc w:val="center"/>
      </w:pPr>
      <w:r>
        <w:rPr>
          <w:color w:val="475569"/>
          <w:sz w:val="26"/>
        </w:rPr>
        <w:t xml:space="preserve">Servidor y cuatro clientes SOAP con CoreWCF · .NET 10 · GR09</w:t>
      </w:r>
    </w:p>
    <w:p>
      <w:pPr>
        <w:spacing w:before="440"/>
        <w:jc w:val="center"/>
      </w:pPr>
      <w:r>
        <w:t>TI.1.1  |  PAO202651  |  NRC36884  |  GR09</w:t>
      </w:r>
    </w:p>
    <w:p>
      <w:pPr>
        <w:jc w:val="center"/>
      </w:pPr>
      <w:r>
        <w:t>Servidor y clientes sin base de datos · MVC · SOAP 1.1</w:t>
      </w:r>
    </w:p>
    <w:p>
      <w:r>
        <w:br w:type="page"/>
      </w:r>
    </w:p>
    <w:p>
      <w:pPr>
        <w:pStyle w:val="Heading1"/>
      </w:pPr>
      <w:r>
        <w:t>1. Propósito y alcance</w:t>
      </w:r>
    </w:p>
    <w:p>
      <w:r>
        <w:t xml:space="preserve">Este manual describe instalación, arquitectura MVC, contrato SOAP y ejecución del servidor y cuatro clientes GR09: consola, escritorio WPF, web ASP.NET Core MVC y Android .NET MAUI. El servicio publica autenticación, cambio de contraseña y conversiones de longitud, masa y temperatura. El catálogo se presenta en cada cliente; no hay operación SOAP de catálogo ni base de datos.</w:t>
      </w:r>
    </w:p>
    <w:p>
      <w:r>
        <w:t>El servidor escucha solo en la interfaz local 127.0.0.1. El SDK, los paquetes NuGet, los temporales y los artefactos de compilación se configuran en D: para evitar usar espacio de C:.</w:t>
      </w:r>
    </w:p>
    <w:p>
      <w:pPr>
        <w:pStyle w:val="Heading1"/>
      </w:pPr>
      <w:r>
        <w:t>2. Tecnologías y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232"/>
            <w:vAlign w:val="center"/>
            <w:shd w:fill="15375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064"/>
            <w:vAlign w:val="center"/>
            <w:shd w:fill="15375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Implementación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Runtime y lenguaje</w:t>
            </w:r>
          </w:p>
        </w:tc>
        <w:tc>
          <w:tcPr>
            <w:tcW w:type="dxa" w:w="8064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.NET 10 LTS · C# 14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Host HTTP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ASP.NET Core 10 con Kestrel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Servicio SOAP</w:t>
            </w:r>
          </w:p>
        </w:tc>
        <w:tc>
          <w:tcPr>
            <w:tcW w:type="dxa" w:w="8064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CoreWCF 1.9.1 · BasicHttpBinding · SOAP 1.1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Datos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Memoria del proceso; sin base de datos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Endpoint local</w:t>
            </w:r>
          </w:p>
        </w:tc>
        <w:tc>
          <w:tcPr>
            <w:tcW w:type="dxa" w:w="8064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http://127.0.0.1:19081/04.SERVIDOR/WSConversionUnidades_DotNet_SOAP_GR09</w:t>
            </w:r>
          </w:p>
        </w:tc>
      </w:tr>
    </w:tbl>
    <w:p>
      <w:pPr>
        <w:spacing w:after="20"/>
      </w:pPr>
    </w:p>
    <w:p>
      <w:pPr>
        <w:pStyle w:val="Heading1"/>
      </w:pPr>
      <w:r>
        <w:t>3. Estructura MVC del servidor</w:t>
      </w:r>
    </w:p>
    <w:p>
      <w:r>
        <w:t>MVC organiza el contrato y la coordinación de operaciones. El servidor no tiene una vista gráfica: las vistas pertenecen a los clientes.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1800"/>
            <w:vAlign w:val="center"/>
            <w:shd w:fill="15375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8496"/>
            <w:vAlign w:val="center"/>
            <w:shd w:fill="15375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Archivos y responsabilidad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Controladores</w:t>
            </w:r>
          </w:p>
        </w:tc>
        <w:tc>
          <w:tcPr>
            <w:tcW w:type="dxa" w:w="8496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IContratoConversorSoap.cs define las cinco operaciones SOAP. ConversorSoapController.cs valida encabezados y coordina servicios.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Modelos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Modelos/Unidades contiene UnidadLongitud, UnidadMasa y UnidadTemperatura.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Servicios</w:t>
            </w:r>
          </w:p>
        </w:tc>
        <w:tc>
          <w:tcPr>
            <w:tcW w:type="dxa" w:w="8496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ServicioConversor.cs valida valores y unidades y ejecuta las conversiones.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ServicioAutenticacion.cs valida credenciales y cambios de contraseña. AdministradorTokens.cs crea y valida tokens temporales.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Host</w:t>
            </w:r>
          </w:p>
        </w:tc>
        <w:tc>
          <w:tcPr>
            <w:tcW w:type="dxa" w:w="8496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Program.cs registra CoreWCF, configura el binding y publica WSDL. appsettings.json fija puerto y niveles de registro.</w:t>
            </w:r>
          </w:p>
        </w:tc>
      </w:tr>
    </w:tbl>
    <w:p>
      <w:pPr>
        <w:spacing w:after="20"/>
      </w:pPr>
    </w:p>
    <w:p>
      <w:r>
        <w:t>Flujo: solicitud SOAP → controlador → validación de token cuando corresponde → servicio de autenticación o conversión → respuesta SOAP o Fault.</w:t>
      </w:r>
    </w:p>
    <w:p>
      <w:pPr>
        <w:pStyle w:val="Heading1"/>
      </w:pPr>
      <w:r>
        <w:t>4. Contrato SOAP</w:t>
      </w:r>
    </w:p>
    <w:p>
      <w:r>
        <w:t>Espacio de nombres: http://ws.controladores.monster.edu/. SOAP usa mensajes document/literal con parámetros envueltos. El WSDL se publica en el endpoint con el sufijo ?wsdl.</w:t>
      </w:r>
    </w:p>
    <w:p>
      <w:r>
        <w:t>La dirección HTTP usa el nombre del servidor .NET. Los nombres WSDL de servicio y puerto conservan el contrato interoperable: WSConversionUnidades_Java_SOAP_GR09 y WSConversionUnidades_Java_SOAP_GR09Port.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448"/>
            <w:vAlign w:val="center"/>
            <w:shd w:fill="15375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4752"/>
            <w:vAlign w:val="center"/>
            <w:shd w:fill="15375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Parámetros</w:t>
            </w:r>
          </w:p>
        </w:tc>
        <w:tc>
          <w:tcPr>
            <w:tcW w:type="dxa" w:w="3024"/>
            <w:vAlign w:val="center"/>
            <w:shd w:fill="15375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Respuesta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4752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usuario, contrasenia</w:t>
            </w:r>
          </w:p>
        </w:tc>
        <w:tc>
          <w:tcPr>
            <w:tcW w:type="dxa" w:w="3024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return: token temporal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cambiarContrasenia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contraseniaActual, contraseniaNueva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return: confirmación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convertirLongitud</w:t>
            </w:r>
          </w:p>
        </w:tc>
        <w:tc>
          <w:tcPr>
            <w:tcW w:type="dxa" w:w="4752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valor, unidadInicial, unidadFinal</w:t>
            </w:r>
          </w:p>
        </w:tc>
        <w:tc>
          <w:tcPr>
            <w:tcW w:type="dxa" w:w="3024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return: número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convertirMasa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valor, unidadInicial, unidadFinal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return: número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convertirTemperatura</w:t>
            </w:r>
          </w:p>
        </w:tc>
        <w:tc>
          <w:tcPr>
            <w:tcW w:type="dxa" w:w="4752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valor, unidadInicial, unidadFinal</w:t>
            </w:r>
          </w:p>
        </w:tc>
        <w:tc>
          <w:tcPr>
            <w:tcW w:type="dxa" w:w="3024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return: número</w:t>
            </w:r>
          </w:p>
        </w:tc>
      </w:tr>
    </w:tbl>
    <w:p>
      <w:pPr>
        <w:spacing w:after="20"/>
      </w:pPr>
    </w:p>
    <w:p>
      <w:pPr>
        <w:pStyle w:val="Heading1"/>
      </w:pPr>
      <w:r>
        <w:t>5. Unidades y reglas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1800"/>
            <w:vAlign w:val="center"/>
            <w:shd w:fill="15375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Magnitud</w:t>
            </w:r>
          </w:p>
        </w:tc>
        <w:tc>
          <w:tcPr>
            <w:tcW w:type="dxa" w:w="8496"/>
            <w:vAlign w:val="center"/>
            <w:shd w:fill="15375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Nombres aceptados en unidadInicial y unidadFinal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Longitud</w:t>
            </w:r>
          </w:p>
        </w:tc>
        <w:tc>
          <w:tcPr>
            <w:tcW w:type="dxa" w:w="8496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MILIMETRO · CENTIMETRO · METRO · KILOMETRO · YARDA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Masa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MILIGRAMO · GRAMO · KILOGRAMO · TONELADA · ONZA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Temperatura</w:t>
            </w:r>
          </w:p>
        </w:tc>
        <w:tc>
          <w:tcPr>
            <w:tcW w:type="dxa" w:w="8496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CELSIUS · FAHRENHEIT · KELVIN · RANKINE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El nombre de unidad se recorta y compara sin distinguir mayúsculas; solo acepta los nombres del enumerado correspondiente.</w:t>
      </w:r>
    </w:p>
    <w:p>
      <w:pPr>
        <w:pStyle w:val="ListBullet"/>
        <w:spacing w:after="40"/>
      </w:pPr>
      <w:r>
        <w:t>El valor debe ser finito. La masa no puede ser negativa. Longitud y temperatura admiten valores negativos, igual que el contrato funcional establecido.</w:t>
      </w:r>
    </w:p>
    <w:p>
      <w:pPr>
        <w:pStyle w:val="ListBullet"/>
        <w:spacing w:after="40"/>
      </w:pPr>
      <w:r>
        <w:t>Longitud usa el metro como base: 1 mm = 0,001 m; 1 cm = 0,01 m; 1 km = 1000 m; 1 yarda = 0,9144 m.</w:t>
      </w:r>
    </w:p>
    <w:p>
      <w:pPr>
        <w:pStyle w:val="ListBullet"/>
        <w:spacing w:after="40"/>
      </w:pPr>
      <w:r>
        <w:t>Masa usa el gramo como base: 1 mg = 0,001 g; 1 kg = 1000 g; 1 tonelada = 1 000 000 g; 1 onza = 28,3495 g.</w:t>
      </w:r>
    </w:p>
    <w:p>
      <w:pPr>
        <w:pStyle w:val="ListBullet"/>
        <w:spacing w:after="40"/>
      </w:pPr>
      <w:r>
        <w:t>Temperatura usa las fórmulas estándar entre Celsius, Fahrenheit, Kelvin y Rankine.</w:t>
      </w:r>
    </w:p>
    <w:p>
      <w:pPr>
        <w:pStyle w:val="Heading1"/>
      </w:pPr>
      <w:r>
        <w:t>6. Autenticación y sesión</w:t>
      </w:r>
    </w:p>
    <w:p>
      <w:pPr>
        <w:pStyle w:val="ListBullet"/>
        <w:spacing w:after="40"/>
      </w:pPr>
      <w:r>
        <w:t>Credenciales iniciales, sensibles a mayúsculas: usuario Monster y contraseña Monster9.</w:t>
      </w:r>
    </w:p>
    <w:p>
      <w:pPr>
        <w:pStyle w:val="ListBullet"/>
        <w:spacing w:after="40"/>
      </w:pPr>
      <w:r>
        <w:t>login es público. cambiarContrasenia y las tres conversiones requieren el encabezado SOAP token en el espacio de nombres http://ws.controladores.monster.edu.ec/.</w:t>
      </w:r>
    </w:p>
    <w:p>
      <w:pPr>
        <w:pStyle w:val="ListBullet"/>
        <w:spacing w:after="40"/>
      </w:pPr>
      <w:r>
        <w:t>Cada token vence 15 minutos después de emitirse. Los tokens y la contraseña actual viven solo en memoria y se pierden al detener o reiniciar el servidor.</w:t>
      </w:r>
    </w:p>
    <w:p>
      <w:pPr>
        <w:pStyle w:val="ListBullet"/>
        <w:spacing w:after="40"/>
      </w:pPr>
      <w:r>
        <w:t>Cambiar la contraseña no revoca los tokens ya emitidos. El usuario Monster permanece fijo; el cambio de contraseña acepta cualquier texto no vacío.</w:t>
      </w:r>
    </w:p>
    <w:p>
      <w:pPr>
        <w:pStyle w:val="ListBullet"/>
        <w:spacing w:after="40"/>
      </w:pPr>
      <w:r>
        <w:t>Errores de credenciales, token, unidades o valores se devuelven como fallos SOAP con una descripción breve, sin incluir contraseñas ni tokens.</w:t>
      </w:r>
    </w:p>
    <w:p>
      <w:pPr>
        <w:pStyle w:val="Heading1"/>
      </w:pPr>
      <w:r>
        <w:t>7. Requisitos y ejecución manual</w:t>
      </w:r>
    </w:p>
    <w:p>
      <w:pPr>
        <w:pStyle w:val="ListBullet"/>
        <w:spacing w:after="40"/>
      </w:pPr>
      <w:r>
        <w:t>Windows y SDK .NET 10. En este equipo el SDK está en D:\tools\dotnet10.</w:t>
      </w:r>
    </w:p>
    <w:p>
      <w:pPr>
        <w:pStyle w:val="ListBullet"/>
        <w:spacing w:after="40"/>
      </w:pPr>
      <w:r>
        <w:t>Acceso a NuGet durante la primera restauración de CoreWCF. El script deja el caché en D:\tools\nuget-packages.</w:t>
      </w:r>
    </w:p>
    <w:p>
      <w:pPr>
        <w:pStyle w:val="ListBullet"/>
        <w:spacing w:after="40"/>
      </w:pPr>
      <w:r>
        <w:t>Puerto TCP 19081 disponible en 127.0.0.1.</w:t>
      </w:r>
    </w:p>
    <w:p>
      <w:r>
        <w:t>Desde PowerShell, ubíquese en la raíz del proyecto y ejecute:</w:t>
      </w:r>
    </w:p>
    <w:p>
      <w:pPr>
        <w:spacing w:before="80" w:after="120"/>
        <w:ind w:left="288"/>
        <w:shd w:fill="F1F5F9"/>
      </w:pPr>
      <w:r>
        <w:rPr>
          <w:rFonts w:ascii="Consolas" w:hAnsi="Consolas"/>
          <w:color w:val="192D4B"/>
          <w:sz w:val="18"/>
        </w:rPr>
        <w:t>.\04. SERVIDOR\IniciarServidor.ps1</w:t>
      </w:r>
    </w:p>
    <w:p>
      <w:r>
        <w:t>El script compila y ejecuta el servidor en primer plano. La primera ejecución puede restaurar paquetes desde NuGet; los paquetes, temporales y artefactos quedan en D:. Detenga el proceso con Ctrl+C.</w:t>
      </w:r>
    </w:p>
    <w:p>
      <w:r>
        <w:t>Con el servidor en ejecución, abra esta dirección para consultar el contrato:</w:t>
      </w:r>
    </w:p>
    <w:p>
      <w:pPr>
        <w:spacing w:before="80" w:after="120"/>
        <w:ind w:left="288"/>
        <w:shd w:fill="F1F5F9"/>
      </w:pPr>
      <w:r>
        <w:rPr>
          <w:rFonts w:ascii="Consolas" w:hAnsi="Consolas"/>
          <w:color w:val="192D4B"/>
          <w:sz w:val="18"/>
        </w:rPr>
        <w:t>http://127.0.0.1:19081/04.SERVIDOR/WSConversionUnidades_DotNet_SOAP_GR09?wsdl</w:t>
      </w:r>
    </w:p>
    <w:p>
      <w:r>
        <w:t>El script apunta al SDK de D: de este equipo. No modifica PATH ni cambia la política permanente de PowerShell.</w:t>
      </w:r>
    </w:p>
    <w:p>
      <w:pPr>
        <w:pStyle w:val="Heading1"/>
      </w:pPr>
      <w:r>
        <w:t>8. Diagnóstico rápido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448"/>
            <w:vAlign w:val="center"/>
            <w:shd w:fill="15375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7776"/>
            <w:vAlign w:val="center"/>
            <w:shd w:fill="15375B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Comprobación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 inicia en el puerto</w:t>
            </w:r>
          </w:p>
        </w:tc>
        <w:tc>
          <w:tcPr>
            <w:tcW w:type="dxa" w:w="7776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Revise si otro proceso ocupa 19081; detenga ese proceso o cambie Urls en appsettings.json y actualice la dirección documentada.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 carga ?wsdl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Confirme que IniciarServidor.ps1 sigue en ejecución y use la URL completa, incluido el sufijo ?wsdl.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Falla la restauración</w:t>
            </w:r>
          </w:p>
        </w:tc>
        <w:tc>
          <w:tcPr>
            <w:tcW w:type="dxa" w:w="7776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Confirme conexión a NuGet y espacio libre en D:. La caché queda en D:\tools\nuget-packages.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Credenciales incorrectas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Use Monster y Monster9 respetando mayúsculas; reiniciar restaura la contraseña inicial.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Token inválido</w:t>
            </w:r>
          </w:p>
        </w:tc>
        <w:tc>
          <w:tcPr>
            <w:tcW w:type="dxa" w:w="7776"/>
            <w:vAlign w:val="center"/>
            <w:shd w:fill="F1F5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Inicie sesión y envíe token en el encabezado SOAP del espacio de nombres indicado; el token vence en 15 minutos.</w:t>
            </w:r>
          </w:p>
        </w:tc>
      </w:tr>
    </w:tbl>
    <w:p>
      <w:pPr>
        <w:spacing w:after="20"/>
      </w:pPr>
    </w:p>
    <w:p>
      <w:pPr>
        <w:pStyle w:val="Heading1"/>
      </w:pPr>
      <w:r>
        <w:t xml:space="preserve">9. Clientes MVC</w:t>
      </w:r>
    </w:p>
    <w:p>
      <w:r>
        <w:t xml:space="preserve">Los cuatro clientes separan presentación, coordinación, modelos y consumo SOAP. El servidor debe estar iniciado en una terminal antes de ejecutar cualquiera de ellos.</w:t>
      </w:r>
    </w:p>
    <w:p>
      <w:r>
        <w:t xml:space="preserve">Desde la raíz del proyecto, configura PowerShell una vez para mantener paquetes, temporales y artefactos en D:.</w:t>
      </w:r>
    </w:p>
    <w:p>
      <w:pPr>
        <w:spacing w:before="80" w:after="120"/>
        <w:ind w:left="288"/>
        <w:shd w:fill="F1F5F9"/>
      </w:pPr>
      <w:r>
        <w:rPr>
          <w:rFonts w:ascii="Consolas" w:hAnsi="Consolas"/>
          <w:color w:val="192D4B"/>
          <w:sz w:val="18"/>
        </w:rPr>
        <w:t xml:space="preserve">$env:DOTNET_ROOT='D:\tools\dotnet10'; $env:DOTNET_CLI_HOME='D:\tools\dotnet10-cli'; $env:NUGET_PACKAGES='D:\tools\nuget-packages'; $env:TEMP='D:\tools\dotnet10-tmp'; $env:TMP=$env:TEMP</w:t>
      </w:r>
    </w:p>
    <w:p>
      <w:pPr>
        <w:spacing w:before="80" w:after="120"/>
        <w:ind w:left="288"/>
        <w:shd w:fill="F1F5F9"/>
      </w:pPr>
      <w:r>
        <w:rPr>
          <w:rFonts w:ascii="Consolas" w:hAnsi="Consolas"/>
          <w:color w:val="192D4B"/>
          <w:sz w:val="18"/>
        </w:rPr>
        <w:t xml:space="preserve">New-Item -ItemType Directory -Force -Path $env:DOTNET_CLI_HOME,$env:NUGET_PACKAGES,$env:TEMP,'D:\tools\GR09-SOAP-DotNet\artifacts' | Out-Null</w:t>
      </w:r>
    </w:p>
    <w:p>
      <w:r>
        <w:t xml:space="preserve">Consola — 04. CLICON\ClienteConsola\ClienteConsolaGR09. .NET 10 y C# 14; carpetas Modelos, Vistas, Controladores y Servicios.</w:t>
      </w:r>
    </w:p>
    <w:p>
      <w:pPr>
        <w:spacing w:before="80" w:after="120"/>
        <w:ind w:left="288"/>
        <w:shd w:fill="F1F5F9"/>
      </w:pPr>
      <w:r>
        <w:rPr>
          <w:rFonts w:ascii="Consolas" w:hAnsi="Consolas"/>
          <w:color w:val="192D4B"/>
          <w:sz w:val="18"/>
        </w:rPr>
        <w:t xml:space="preserve">&amp; 'D:\tools\dotnet10\dotnet.exe' run --project '.\04. CLICON\ClienteConsola\ClienteConsolaGR09\ClienteConsolaGR09.csproj' --artifacts-path 'D:\tools\GR09-SOAP-DotNet\artifacts'</w:t>
      </w:r>
    </w:p>
    <w:p>
      <w:r>
        <w:t xml:space="preserve">Escritorio — 04. CLIESC\ClienteEscritorio\ClienteEscritorioGR09. WPF sobre .NET 10 y C# 14; Vistas\MainWindow.xaml, Modelos, Controladores y Servicios.</w:t>
      </w:r>
    </w:p>
    <w:p>
      <w:pPr>
        <w:spacing w:before="80" w:after="120"/>
        <w:ind w:left="288"/>
        <w:shd w:fill="F1F5F9"/>
      </w:pPr>
      <w:r>
        <w:rPr>
          <w:rFonts w:ascii="Consolas" w:hAnsi="Consolas"/>
          <w:color w:val="192D4B"/>
          <w:sz w:val="18"/>
        </w:rPr>
        <w:t xml:space="preserve">&amp; 'D:\tools\dotnet10\dotnet.exe' run --project '.\04. CLIESC\ClienteEscritorio\ClienteEscritorioGR09\ClienteEscritorioGR09.csproj' --artifacts-path 'D:\tools\GR09-SOAP-DotNet\artifacts'</w:t>
      </w:r>
    </w:p>
    <w:p>
      <w:r>
        <w:t xml:space="preserve">Web — 04. CLIWEB\ClienteWeb\ClienteWebGR09. ASP.NET Core MVC sobre .NET 10; organiza Controllers, Models, Views y Services. La sesión web vence tras 15 minutos.</w:t>
      </w:r>
    </w:p>
    <w:p>
      <w:pPr>
        <w:spacing w:before="80" w:after="120"/>
        <w:ind w:left="288"/>
        <w:shd w:fill="F1F5F9"/>
      </w:pPr>
      <w:r>
        <w:rPr>
          <w:rFonts w:ascii="Consolas" w:hAnsi="Consolas"/>
          <w:color w:val="192D4B"/>
          <w:sz w:val="18"/>
        </w:rPr>
        <w:t xml:space="preserve">&amp; 'D:\tools\dotnet10\dotnet.exe' run --project '.\04. CLIWEB\ClienteWeb\ClienteWebGR09\ClienteWebGR09.csproj' --artifacts-path 'D:\tools\GR09-SOAP-DotNet\artifacts'</w:t>
      </w:r>
    </w:p>
    <w:p>
      <w:r>
        <w:t xml:space="preserve">Abre http://127.0.0.1:5080 para usar el cliente web.</w:t>
      </w:r>
    </w:p>
    <w:p>
      <w:r>
        <w:t xml:space="preserve">Móvil — 04. CLIMOV\ClienteMovil\ClienteMovilGR09. Android con .NET MAUI 10 y C# 14; carpetas Modelos, Vistas, Controladores y Servicios. El emulador usa http://10.0.2.2:19081/04.SERVIDOR/WSConversionUnidades_DotNet_SOAP_GR09 para llegar al servidor del equipo anfitrión.</w:t>
      </w:r>
    </w:p>
    <w:p>
      <w:r>
        <w:t xml:space="preserve">Desde la raíz del proyecto, prepara SDK Android y compila en D:. Requiere conexión a los feeds oficiales de Microsoft y Android.</w:t>
      </w:r>
    </w:p>
    <w:p>
      <w:pPr>
        <w:spacing w:before="80" w:after="120"/>
        <w:ind w:left="288"/>
        <w:shd w:fill="F1F5F9"/>
      </w:pPr>
      <w:r>
        <w:rPr>
          <w:rFonts w:ascii="Consolas" w:hAnsi="Consolas"/>
          <w:color w:val="192D4B"/>
          <w:sz w:val="18"/>
        </w:rPr>
        <w:t xml:space="preserve">$env:ANDROID_HOME='D:\tools\android-sdk'; $env:ANDROID_SDK_ROOT=$env:ANDROID_HOME; $env:ANDROID_USER_HOME='D:\tools\android-user'; $env:JAVA_HOME='D:\tools\jdk\jdk-21.0.9+10'</w:t>
      </w:r>
    </w:p>
    <w:p>
      <w:pPr>
        <w:spacing w:before="80" w:after="120"/>
        <w:ind w:left="288"/>
        <w:shd w:fill="F1F5F9"/>
      </w:pPr>
      <w:r>
        <w:rPr>
          <w:rFonts w:ascii="Consolas" w:hAnsi="Consolas"/>
          <w:color w:val="192D4B"/>
          <w:sz w:val="18"/>
        </w:rPr>
        <w:t xml:space="preserve">&amp; 'D:\tools\dotnet10\dotnet.exe' build '.\04. CLIMOV\ClienteMovil\ClienteMovilGR09\ClienteMovilGR09.csproj' -t:InstallAndroidDependencies -f net10.0-android -p:AndroidSdkDirectory='D:\tools\android-sdk' -p:JavaSdkDirectory='D:\tools\jdk\jdk-21.0.9+10' -p:AcceptAndroidSDKLicenses=True --artifacts-path 'D:\tools\GR09-SOAP-DotNet\artifacts'</w:t>
      </w:r>
    </w:p>
    <w:p>
      <w:pPr>
        <w:spacing w:before="80" w:after="120"/>
        <w:ind w:left="288"/>
        <w:shd w:fill="F1F5F9"/>
      </w:pPr>
      <w:r>
        <w:rPr>
          <w:rFonts w:ascii="Consolas" w:hAnsi="Consolas"/>
          <w:color w:val="192D4B"/>
          <w:sz w:val="18"/>
        </w:rPr>
        <w:t xml:space="preserve">&amp; 'D:\tools\dotnet10\dotnet.exe' build '.\04. CLIMOV\ClienteMovil\ClienteMovilGR09\ClienteMovilGR09.csproj' -f net10.0-android -p:AndroidSdkDirectory='D:\tools\android-sdk' -p:JavaSdkDirectory='D:\tools\jdk\jdk-21.0.9+10' --artifacts-path 'D:\tools\GR09-SOAP-DotNet\artifacts'</w:t>
      </w:r>
    </w:p>
    <w:p>
      <w:r>
        <w:t xml:space="preserve">Selecciona un emulador Android en Visual Studio para iniciar la app. Un teléfono físico requiere que el servidor escuche en la interfaz de red y que el firewall permita el puerto 19081; cambia el host en Controladores\ControladorConversor.cs por la IP LAN del equipo.</w:t>
      </w:r>
    </w:p>
    <w:p>
      <w:r>
        <w:t xml:space="preserve">Los comandos de consola, escritorio, web y móvil generan artefactos bajo D:\tools\GR09-SOAP-DotNet\artifacts. NuGet, SDK, cachés y temporales se configuran en D:.</w:t>
      </w:r>
    </w:p>
    <w:p>
      <w:pPr>
        <w:pStyle w:val="Heading1"/>
      </w:pPr>
      <w:r>
        <w:t>10. Diagrama y referencias</w:t>
      </w:r>
    </w:p>
    <w:p>
      <w:r>
        <w:t>El diagrama de casos de uso está en 01. UML/03. DIAGRAMAS UML/01_CASOS_DE_USO/CASOS_DE_USO_SOAP_DOTNET_GR09.svg.</w:t>
      </w:r>
    </w:p>
    <w:p>
      <w:pPr>
        <w:pStyle w:val="ListBullet"/>
        <w:spacing w:after="40"/>
      </w:pPr>
      <w:r>
        <w:t>Microsoft Learn · versiones y soporte de .NET: https://learn.microsoft.com/dotnet/core/releases-and-support</w:t>
      </w:r>
    </w:p>
    <w:p>
      <w:pPr>
        <w:pStyle w:val="ListBullet"/>
        <w:spacing w:after="40"/>
      </w:pPr>
      <w:r>
        <w:t>CoreWCF · notas oficiales de la versión 1.9.1: https://github.com/CoreWCF/CoreWCF/releases/tag/v1.9.1</w:t>
      </w:r>
    </w:p>
    <w:p>
      <w:pPr>
        <w:pStyle w:val="ListBullet"/>
        <w:spacing w:after="40"/>
      </w:pPr>
      <w:r>
        <w:t>CoreWCF · guía oficial de hospedaje, endpoint y metadatos: https://github.com/CoreWCF/CoreWCF/blob/main/Documentation/Walkthrough.md</w:t>
      </w:r>
    </w:p>
    <w:p>
      <w:pPr>
        <w:pStyle w:val="ListBullet"/>
      </w:pPr>
      <w:r>
        <w:t xml:space="preserve">Microsoft Learn · ASP.NET Core MVC 10: https://learn.microsoft.com/aspnet/core/mvc/overview?view=aspnetcore-10.0</w:t>
      </w:r>
    </w:p>
    <w:p>
      <w:pPr>
        <w:pStyle w:val="ListBullet"/>
      </w:pPr>
      <w:r>
        <w:t xml:space="preserve">Microsoft Learn · WPF: https://learn.microsoft.com/dotnet/desktop/wpf/overview/</w:t>
      </w:r>
    </w:p>
    <w:p>
      <w:pPr>
        <w:pStyle w:val="ListBullet"/>
      </w:pPr>
      <w:r>
        <w:t xml:space="preserve">Microsoft Learn · .NET MAUI 10: https://learn.microsoft.com/dotnet/maui/whats-new/dotnet-10?view=net-maui-10.0</w:t>
      </w:r>
    </w:p>
    <w:p>
      <w:pPr>
        <w:pStyle w:val="ListBullet"/>
      </w:pPr>
      <w:r>
        <w:t xml:space="preserve">Microsoft Learn · dependencias Android para .NET: https://learn.microsoft.com/dotnet/android/getting-started/installation/dependencies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Manual técnico · Conversor de Unidades Monster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TI.1.1  |  PAO202651  |  GR09  |  SOAP .NET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4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7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7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SOAP .NET GR09</dc:title>
  <dc:subject>Servidor CoreWCF .NET 10 con MVC</dc:subject>
  <dc:creator>TI.1.1 PAO202651 GR09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