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Diccionario de datos</w:t>
      </w:r>
    </w:p>
    <w:p>
      <w:pPr>
        <w:jc w:val="center"/>
      </w:pPr>
      <w:r>
        <w:t>Contratos REST y datos en memoria</w:t>
      </w:r>
    </w:p>
    <w:p>
      <w:r>
        <w:t>TI.1.1 | PAO202651 | NRC36884 | GR09</w:t>
      </w:r>
    </w:p>
    <w:p>
      <w:r>
        <w:t>Arquitectura RESTful Java sin base de datos | 13 de octubre de 2026</w:t>
      </w:r>
    </w:p>
    <w:p>
      <w:pPr>
        <w:pStyle w:val="Heading1"/>
      </w:pPr>
      <w:r>
        <w:t>1. Solicitudes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Objeto</w:t>
            </w:r>
          </w:p>
        </w:tc>
        <w:tc>
          <w:tcPr>
            <w:tcW w:type="dxa" w:w="2351"/>
          </w:tcPr>
          <w:p>
            <w:r>
              <w:t>Campo</w:t>
            </w:r>
          </w:p>
        </w:tc>
        <w:tc>
          <w:tcPr>
            <w:tcW w:type="dxa" w:w="2351"/>
          </w:tcPr>
          <w:p>
            <w:r>
              <w:t>Tipo</w:t>
            </w:r>
          </w:p>
        </w:tc>
        <w:tc>
          <w:tcPr>
            <w:tcW w:type="dxa" w:w="2351"/>
          </w:tcPr>
          <w:p>
            <w:r>
              <w:t>Uso</w:t>
            </w:r>
          </w:p>
        </w:tc>
      </w:tr>
      <w:tr>
        <w:tc>
          <w:tcPr>
            <w:tcW w:type="dxa" w:w="2351"/>
          </w:tcPr>
          <w:p>
            <w:r>
              <w:t>LoginRequest</w:t>
            </w:r>
          </w:p>
        </w:tc>
        <w:tc>
          <w:tcPr>
            <w:tcW w:type="dxa" w:w="2351"/>
          </w:tcPr>
          <w:p>
            <w:r>
              <w:t>usuario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Usuario de demostración</w:t>
            </w:r>
          </w:p>
        </w:tc>
      </w:tr>
      <w:tr>
        <w:tc>
          <w:tcPr>
            <w:tcW w:type="dxa" w:w="2351"/>
          </w:tcPr>
          <w:p>
            <w:r>
              <w:t>LoginRequest</w:t>
            </w:r>
          </w:p>
        </w:tc>
        <w:tc>
          <w:tcPr>
            <w:tcW w:type="dxa" w:w="2351"/>
          </w:tcPr>
          <w:p>
            <w:r>
              <w:t>clave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Clave de demostración</w:t>
            </w:r>
          </w:p>
        </w:tc>
      </w:tr>
      <w:tr>
        <w:tc>
          <w:tcPr>
            <w:tcW w:type="dxa" w:w="2351"/>
          </w:tcPr>
          <w:p>
            <w:r>
              <w:t>ConversionRequest</w:t>
            </w:r>
          </w:p>
        </w:tc>
        <w:tc>
          <w:tcPr>
            <w:tcW w:type="dxa" w:w="2351"/>
          </w:tcPr>
          <w:p>
            <w:r>
              <w:t>valor</w:t>
            </w:r>
          </w:p>
        </w:tc>
        <w:tc>
          <w:tcPr>
            <w:tcW w:type="dxa" w:w="2351"/>
          </w:tcPr>
          <w:p>
            <w:r>
              <w:t>número</w:t>
            </w:r>
          </w:p>
        </w:tc>
        <w:tc>
          <w:tcPr>
            <w:tcW w:type="dxa" w:w="2351"/>
          </w:tcPr>
          <w:p>
            <w:r>
              <w:t>Valor de entrada</w:t>
            </w:r>
          </w:p>
        </w:tc>
      </w:tr>
      <w:tr>
        <w:tc>
          <w:tcPr>
            <w:tcW w:type="dxa" w:w="2351"/>
          </w:tcPr>
          <w:p>
            <w:r>
              <w:t>ConversionRequest</w:t>
            </w:r>
          </w:p>
        </w:tc>
        <w:tc>
          <w:tcPr>
            <w:tcW w:type="dxa" w:w="2351"/>
          </w:tcPr>
          <w:p>
            <w:r>
              <w:t>unidadOrigen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Unidad inicial</w:t>
            </w:r>
          </w:p>
        </w:tc>
      </w:tr>
      <w:tr>
        <w:tc>
          <w:tcPr>
            <w:tcW w:type="dxa" w:w="2351"/>
          </w:tcPr>
          <w:p>
            <w:r>
              <w:t>ConversionRequest</w:t>
            </w:r>
          </w:p>
        </w:tc>
        <w:tc>
          <w:tcPr>
            <w:tcW w:type="dxa" w:w="2351"/>
          </w:tcPr>
          <w:p>
            <w:r>
              <w:t>unidadDestino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Unidad final</w:t>
            </w:r>
          </w:p>
        </w:tc>
      </w:tr>
    </w:tbl>
    <w:p/>
    <w:p>
      <w:pPr>
        <w:pStyle w:val="Heading1"/>
      </w:pPr>
      <w:r>
        <w:t>2. Respuestas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Objeto</w:t>
            </w:r>
          </w:p>
        </w:tc>
        <w:tc>
          <w:tcPr>
            <w:tcW w:type="dxa" w:w="3135"/>
          </w:tcPr>
          <w:p>
            <w:r>
              <w:t>Campos</w:t>
            </w:r>
          </w:p>
        </w:tc>
        <w:tc>
          <w:tcPr>
            <w:tcW w:type="dxa" w:w="3135"/>
          </w:tcPr>
          <w:p>
            <w:r>
              <w:t>Uso</w:t>
            </w:r>
          </w:p>
        </w:tc>
      </w:tr>
      <w:tr>
        <w:tc>
          <w:tcPr>
            <w:tcW w:type="dxa" w:w="3135"/>
          </w:tcPr>
          <w:p>
            <w:r>
              <w:t>TokenResponse</w:t>
            </w:r>
          </w:p>
        </w:tc>
        <w:tc>
          <w:tcPr>
            <w:tcW w:type="dxa" w:w="3135"/>
          </w:tcPr>
          <w:p>
            <w:r>
              <w:t>exito, token, tipo, usuario, expiraEnSegundos, mensaje</w:t>
            </w:r>
          </w:p>
        </w:tc>
        <w:tc>
          <w:tcPr>
            <w:tcW w:type="dxa" w:w="3135"/>
          </w:tcPr>
          <w:p>
            <w:r>
              <w:t>Autenticación; expiraEnSegundos=600</w:t>
            </w:r>
          </w:p>
        </w:tc>
      </w:tr>
      <w:tr>
        <w:tc>
          <w:tcPr>
            <w:tcW w:type="dxa" w:w="3135"/>
          </w:tcPr>
          <w:p>
            <w:r>
              <w:t>CatalogoResponse</w:t>
            </w:r>
          </w:p>
        </w:tc>
        <w:tc>
          <w:tcPr>
            <w:tcW w:type="dxa" w:w="3135"/>
          </w:tcPr>
          <w:p>
            <w:r>
              <w:t>exito, magnitudes, mensaje</w:t>
            </w:r>
          </w:p>
        </w:tc>
        <w:tc>
          <w:tcPr>
            <w:tcW w:type="dxa" w:w="3135"/>
          </w:tcPr>
          <w:p>
            <w:r>
              <w:t>Unidades por magnitud</w:t>
            </w:r>
          </w:p>
        </w:tc>
      </w:tr>
      <w:tr>
        <w:tc>
          <w:tcPr>
            <w:tcW w:type="dxa" w:w="3135"/>
          </w:tcPr>
          <w:p>
            <w:r>
              <w:t>ConversionResponse</w:t>
            </w:r>
          </w:p>
        </w:tc>
        <w:tc>
          <w:tcPr>
            <w:tcW w:type="dxa" w:w="3135"/>
          </w:tcPr>
          <w:p>
            <w:r>
              <w:t>exito, magnitud, valor, unidadOrigen, unidadDestino, resultado, mensaje</w:t>
            </w:r>
          </w:p>
        </w:tc>
        <w:tc>
          <w:tcPr>
            <w:tcW w:type="dxa" w:w="3135"/>
          </w:tcPr>
          <w:p>
            <w:r>
              <w:t>Resultado de conversión</w:t>
            </w:r>
          </w:p>
        </w:tc>
      </w:tr>
      <w:tr>
        <w:tc>
          <w:tcPr>
            <w:tcW w:type="dxa" w:w="3135"/>
          </w:tcPr>
          <w:p>
            <w:r>
              <w:t>ErrorResponse</w:t>
            </w:r>
          </w:p>
        </w:tc>
        <w:tc>
          <w:tcPr>
            <w:tcW w:type="dxa" w:w="3135"/>
          </w:tcPr>
          <w:p>
            <w:r>
              <w:t>exito, codigo, error, mensaje, ruta, timestamp</w:t>
            </w:r>
          </w:p>
        </w:tc>
        <w:tc>
          <w:tcPr>
            <w:tcW w:type="dxa" w:w="3135"/>
          </w:tcPr>
          <w:p>
            <w:r>
              <w:t>Fallo HTTP</w:t>
            </w:r>
          </w:p>
        </w:tc>
      </w:tr>
    </w:tbl>
    <w:p/>
    <w:p>
      <w:pPr>
        <w:pStyle w:val="Heading1"/>
      </w:pPr>
      <w:r>
        <w:t>3. Almacenamiento</w:t>
      </w:r>
    </w:p>
    <w:p>
      <w:r>
        <w:t>No existen tablas ni entidades persistentes. TokenStore mantiene tokens UUID, usuario, fecha de emisión y vencimiento en un mapa concurrente. El catálogo y los factores o fórmulas de conversión están definidos en el código del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Magnitud</w:t>
            </w:r>
          </w:p>
        </w:tc>
        <w:tc>
          <w:tcPr>
            <w:tcW w:type="dxa" w:w="4703"/>
          </w:tcPr>
          <w:p>
            <w:r>
              <w:t>Valores del catálogo</w:t>
            </w:r>
          </w:p>
        </w:tc>
      </w:tr>
      <w:tr>
        <w:tc>
          <w:tcPr>
            <w:tcW w:type="dxa" w:w="4703"/>
          </w:tcPr>
          <w:p>
            <w:r>
              <w:t>Longitud</w:t>
            </w:r>
          </w:p>
        </w:tc>
        <w:tc>
          <w:tcPr>
            <w:tcW w:type="dxa" w:w="4703"/>
          </w:tcPr>
          <w:p>
            <w:r>
              <w:t>centimetros, metros, pies, yardas, millas</w:t>
            </w:r>
          </w:p>
        </w:tc>
      </w:tr>
      <w:tr>
        <w:tc>
          <w:tcPr>
            <w:tcW w:type="dxa" w:w="4703"/>
          </w:tcPr>
          <w:p>
            <w:r>
              <w:t>Masa</w:t>
            </w:r>
          </w:p>
        </w:tc>
        <w:tc>
          <w:tcPr>
            <w:tcW w:type="dxa" w:w="4703"/>
          </w:tcPr>
          <w:p>
            <w:r>
              <w:t>gramos, kilogramos, onzas, libras, quintales</w:t>
            </w:r>
          </w:p>
        </w:tc>
      </w:tr>
      <w:tr>
        <w:tc>
          <w:tcPr>
            <w:tcW w:type="dxa" w:w="4703"/>
          </w:tcPr>
          <w:p>
            <w:r>
              <w:t>Temperatura</w:t>
            </w:r>
          </w:p>
        </w:tc>
        <w:tc>
          <w:tcPr>
            <w:tcW w:type="dxa" w:w="4703"/>
          </w:tcPr>
          <w:p>
            <w:r>
              <w:t>fahrenheit, kelvin, celsius, newton, reaumur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