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Especificación de Requisitos de Software</w:t>
      </w:r>
    </w:p>
    <w:p>
      <w:pPr>
        <w:jc w:val="center"/>
      </w:pPr>
      <w:r>
        <w:t>Conversor de Unidades Monster — arquitectura SOA con servicios SOAP</w:t>
      </w:r>
    </w:p>
    <w:p>
      <w:r>
        <w:t>TI.1.1 | PAO202651 | NRC36884 | GR09</w:t>
      </w:r>
    </w:p>
    <w:p>
      <w:r>
        <w:t>SOAP Java sin base de datos | Versión alineada al código | 13 de octubre de 2026</w:t>
      </w:r>
    </w:p>
    <w:p>
      <w:pPr>
        <w:pStyle w:val="Heading1"/>
      </w:pPr>
      <w:r>
        <w:t>1. Propósito y alcance</w:t>
      </w:r>
    </w:p>
    <w:p>
      <w:r>
        <w:t>Este ERS define el sistema Conversor de Unidades Monster del proyecto SOAP Java GR09. Un servidor Java publica operaciones de conversión y autenticación mediante SOAP/XML. Cuatro clientes (consola, escritorio, web y móvil) consumen el mismo contrato. El proyecto no usa base de datos.</w:t>
      </w:r>
    </w:p>
    <w:p>
      <w:r>
        <w:t>El documento describe el servidor y los cuatro clientes Java presentes en las carpetas numeradas. El contrato implementado en este proyecto es SOAP/XML y los clientes aplican MVC.</w:t>
      </w:r>
    </w:p>
    <w:p>
      <w:pPr>
        <w:pStyle w:val="Heading1"/>
      </w:pPr>
      <w:r>
        <w:t>2. Actores y arquitectura</w:t>
      </w:r>
    </w:p>
    <w:p>
      <w:r>
        <w:t>Actor principal: usuario final. Inicia sesión, realiza conversiones y, si lo requiere, cambia la contraseña. Las operaciones protegidas requieren un token válido dentro del encabezado SOAP.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Componente</w:t>
            </w:r>
          </w:p>
        </w:tc>
        <w:tc>
          <w:tcPr>
            <w:tcW w:type="dxa" w:w="4703"/>
          </w:tcPr>
          <w:p>
            <w:r>
              <w:t>Responsabilidad y tecnología</w:t>
            </w:r>
          </w:p>
        </w:tc>
      </w:tr>
      <w:tr>
        <w:tc>
          <w:tcPr>
            <w:tcW w:type="dxa" w:w="4703"/>
          </w:tcPr>
          <w:p>
            <w:r>
              <w:t>Servidor</w:t>
            </w:r>
          </w:p>
        </w:tc>
        <w:tc>
          <w:tcPr>
            <w:tcW w:type="dxa" w:w="4703"/>
          </w:tcPr>
          <w:p>
            <w:r>
              <w:t>Java 21, Jakarta EE 11, JAX-WS 4.0.3; aplicación WAR. Publica el endpoint anotado con @WebService.</w:t>
            </w:r>
          </w:p>
        </w:tc>
      </w:tr>
      <w:tr>
        <w:tc>
          <w:tcPr>
            <w:tcW w:type="dxa" w:w="4703"/>
          </w:tcPr>
          <w:p>
            <w:r>
              <w:t>Consola</w:t>
            </w:r>
          </w:p>
        </w:tc>
        <w:tc>
          <w:tcPr>
            <w:tcW w:type="dxa" w:w="4703"/>
          </w:tcPr>
          <w:p>
            <w:r>
              <w:t>Java 21 CLI; paquetes modelo, vista, controlador y cliente SOAP.</w:t>
            </w:r>
          </w:p>
        </w:tc>
      </w:tr>
      <w:tr>
        <w:tc>
          <w:tcPr>
            <w:tcW w:type="dxa" w:w="4703"/>
          </w:tcPr>
          <w:p>
            <w:r>
              <w:t>Escritorio</w:t>
            </w:r>
          </w:p>
        </w:tc>
        <w:tc>
          <w:tcPr>
            <w:tcW w:type="dxa" w:w="4703"/>
          </w:tcPr>
          <w:p>
            <w:r>
              <w:t>Java 21 Swing; paquetes modelo, vista, controlador y servicios SOAP.</w:t>
            </w:r>
          </w:p>
        </w:tc>
      </w:tr>
      <w:tr>
        <w:tc>
          <w:tcPr>
            <w:tcW w:type="dxa" w:w="4703"/>
          </w:tcPr>
          <w:p>
            <w:r>
              <w:t>Web</w:t>
            </w:r>
          </w:p>
        </w:tc>
        <w:tc>
          <w:tcPr>
            <w:tcW w:type="dxa" w:w="4703"/>
          </w:tcPr>
          <w:p>
            <w:r>
              <w:t>Java 21, JSP/Servlet Jakarta EE Web 10, WAR y cliente JAX-WS.</w:t>
            </w:r>
          </w:p>
        </w:tc>
      </w:tr>
      <w:tr>
        <w:tc>
          <w:tcPr>
            <w:tcW w:type="dxa" w:w="4703"/>
          </w:tcPr>
          <w:p>
            <w:r>
              <w:t>Móvil</w:t>
            </w:r>
          </w:p>
        </w:tc>
        <w:tc>
          <w:tcPr>
            <w:tcW w:type="dxa" w:w="4703"/>
          </w:tcPr>
          <w:p>
            <w:r>
              <w:t>Android; Java 11, compileSdk/targetSdk 35, minSdk 24 y ksoap2-android 3.6.4.</w:t>
            </w:r>
          </w:p>
        </w:tc>
      </w:tr>
    </w:tbl>
    <w:p/>
    <w:p>
      <w:r>
        <w:t>En el servidor, controladores WS publican el contrato, servicios coordinan conversiones y los modelos/enumeraciones representan unidades y cálculos. Los clientes implementan MVC según la interfaz: las vistas presentan información, los controladores coordinan acciones y los adaptadores realizan la comunicación SOAP. En Android, las Activities coordinan la vista y llaman a ServicioSOAP.</w:t>
      </w:r>
    </w:p>
    <w:p>
      <w:pPr>
        <w:pStyle w:val="Heading1"/>
      </w:pPr>
      <w:r>
        <w:t>3. Requisitos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ID</w:t>
            </w:r>
          </w:p>
        </w:tc>
        <w:tc>
          <w:tcPr>
            <w:tcW w:type="dxa" w:w="3135"/>
          </w:tcPr>
          <w:p>
            <w:r>
              <w:t>Requisito</w:t>
            </w:r>
          </w:p>
        </w:tc>
        <w:tc>
          <w:tcPr>
            <w:tcW w:type="dxa" w:w="3135"/>
          </w:tcPr>
          <w:p>
            <w:r>
              <w:t>Criterio observable</w:t>
            </w:r>
          </w:p>
        </w:tc>
      </w:tr>
      <w:tr>
        <w:tc>
          <w:tcPr>
            <w:tcW w:type="dxa" w:w="3135"/>
          </w:tcPr>
          <w:p>
            <w:r>
              <w:t>RF-01</w:t>
            </w:r>
          </w:p>
        </w:tc>
        <w:tc>
          <w:tcPr>
            <w:tcW w:type="dxa" w:w="3135"/>
          </w:tcPr>
          <w:p>
            <w:r>
              <w:t>Autenticación</w:t>
            </w:r>
          </w:p>
        </w:tc>
        <w:tc>
          <w:tcPr>
            <w:tcW w:type="dxa" w:w="3135"/>
          </w:tcPr>
          <w:p>
            <w:r>
              <w:t>login recibe usuario y contraseña; valida credenciales y devuelve un token.</w:t>
            </w:r>
          </w:p>
        </w:tc>
      </w:tr>
      <w:tr>
        <w:tc>
          <w:tcPr>
            <w:tcW w:type="dxa" w:w="3135"/>
          </w:tcPr>
          <w:p>
            <w:r>
              <w:t>RF-02</w:t>
            </w:r>
          </w:p>
        </w:tc>
        <w:tc>
          <w:tcPr>
            <w:tcW w:type="dxa" w:w="3135"/>
          </w:tcPr>
          <w:p>
            <w:r>
              <w:t>Cambio de contraseña</w:t>
            </w:r>
          </w:p>
        </w:tc>
        <w:tc>
          <w:tcPr>
            <w:tcW w:type="dxa" w:w="3135"/>
          </w:tcPr>
          <w:p>
            <w:r>
              <w:t>cambiarContrasenia valida contraseña actual y acepta una nueva no vacía.</w:t>
            </w:r>
          </w:p>
        </w:tc>
      </w:tr>
      <w:tr>
        <w:tc>
          <w:tcPr>
            <w:tcW w:type="dxa" w:w="3135"/>
          </w:tcPr>
          <w:p>
            <w:r>
              <w:t>RF-03</w:t>
            </w:r>
          </w:p>
        </w:tc>
        <w:tc>
          <w:tcPr>
            <w:tcW w:type="dxa" w:w="3135"/>
          </w:tcPr>
          <w:p>
            <w:r>
              <w:t>Conversión de longitud</w:t>
            </w:r>
          </w:p>
        </w:tc>
        <w:tc>
          <w:tcPr>
            <w:tcW w:type="dxa" w:w="3135"/>
          </w:tcPr>
          <w:p>
            <w:r>
              <w:t>convertirLongitud procesa milímetro, centímetro, metro, kilómetro y yarda.</w:t>
            </w:r>
          </w:p>
        </w:tc>
      </w:tr>
      <w:tr>
        <w:tc>
          <w:tcPr>
            <w:tcW w:type="dxa" w:w="3135"/>
          </w:tcPr>
          <w:p>
            <w:r>
              <w:t>RF-04</w:t>
            </w:r>
          </w:p>
        </w:tc>
        <w:tc>
          <w:tcPr>
            <w:tcW w:type="dxa" w:w="3135"/>
          </w:tcPr>
          <w:p>
            <w:r>
              <w:t>Conversión de masa</w:t>
            </w:r>
          </w:p>
        </w:tc>
        <w:tc>
          <w:tcPr>
            <w:tcW w:type="dxa" w:w="3135"/>
          </w:tcPr>
          <w:p>
            <w:r>
              <w:t>convertirMasa procesa miligramo, gramo, kilogramo, tonelada y onza; rechaza masa negativa.</w:t>
            </w:r>
          </w:p>
        </w:tc>
      </w:tr>
      <w:tr>
        <w:tc>
          <w:tcPr>
            <w:tcW w:type="dxa" w:w="3135"/>
          </w:tcPr>
          <w:p>
            <w:r>
              <w:t>RF-05</w:t>
            </w:r>
          </w:p>
        </w:tc>
        <w:tc>
          <w:tcPr>
            <w:tcW w:type="dxa" w:w="3135"/>
          </w:tcPr>
          <w:p>
            <w:r>
              <w:t>Conversión de temperatura</w:t>
            </w:r>
          </w:p>
        </w:tc>
        <w:tc>
          <w:tcPr>
            <w:tcW w:type="dxa" w:w="3135"/>
          </w:tcPr>
          <w:p>
            <w:r>
              <w:t>convertirTemperatura procesa Celsius, Fahrenheit, Kelvin y Rankine.</w:t>
            </w:r>
          </w:p>
        </w:tc>
      </w:tr>
      <w:tr>
        <w:tc>
          <w:tcPr>
            <w:tcW w:type="dxa" w:w="3135"/>
          </w:tcPr>
          <w:p>
            <w:r>
              <w:t>RF-06</w:t>
            </w:r>
          </w:p>
        </w:tc>
        <w:tc>
          <w:tcPr>
            <w:tcW w:type="dxa" w:w="3135"/>
          </w:tcPr>
          <w:p>
            <w:r>
              <w:t>Autorización</w:t>
            </w:r>
          </w:p>
        </w:tc>
        <w:tc>
          <w:tcPr>
            <w:tcW w:type="dxa" w:w="3135"/>
          </w:tcPr>
          <w:p>
            <w:r>
              <w:t>el manejador SOAP exige token válido en el encabezado para toda operación salvo login.</w:t>
            </w:r>
          </w:p>
        </w:tc>
      </w:tr>
      <w:tr>
        <w:tc>
          <w:tcPr>
            <w:tcW w:type="dxa" w:w="3135"/>
          </w:tcPr>
          <w:p>
            <w:r>
              <w:t>RF-07</w:t>
            </w:r>
          </w:p>
        </w:tc>
        <w:tc>
          <w:tcPr>
            <w:tcW w:type="dxa" w:w="3135"/>
          </w:tcPr>
          <w:p>
            <w:r>
              <w:t>Vencimiento</w:t>
            </w:r>
          </w:p>
        </w:tc>
        <w:tc>
          <w:tcPr>
            <w:tcW w:type="dxa" w:w="3135"/>
          </w:tcPr>
          <w:p>
            <w:r>
              <w:t>el token vence a los 15 minutos; los tokens y cambios de contraseña se mantienen solo en memoria.</w:t>
            </w:r>
          </w:p>
        </w:tc>
      </w:tr>
      <w:tr>
        <w:tc>
          <w:tcPr>
            <w:tcW w:type="dxa" w:w="3135"/>
          </w:tcPr>
          <w:p>
            <w:r>
              <w:t>RF-08</w:t>
            </w:r>
          </w:p>
        </w:tc>
        <w:tc>
          <w:tcPr>
            <w:tcW w:type="dxa" w:w="3135"/>
          </w:tcPr>
          <w:p>
            <w:r>
              <w:t>Errores</w:t>
            </w:r>
          </w:p>
        </w:tc>
        <w:tc>
          <w:tcPr>
            <w:tcW w:type="dxa" w:w="3135"/>
          </w:tcPr>
          <w:p>
            <w:r>
              <w:t>el servicio rechaza unidades no reconocidas, valores no finitos y operaciones no autorizadas mediante errores SOAP.</w:t>
            </w:r>
          </w:p>
        </w:tc>
      </w:tr>
    </w:tbl>
    <w:p/>
    <w:p>
      <w:pPr>
        <w:pStyle w:val="Heading1"/>
      </w:pPr>
      <w:r>
        <w:t>4. Requisitos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ID</w:t>
            </w:r>
          </w:p>
        </w:tc>
        <w:tc>
          <w:tcPr>
            <w:tcW w:type="dxa" w:w="4703"/>
          </w:tcPr>
          <w:p>
            <w:r>
              <w:t>Requisito</w:t>
            </w:r>
          </w:p>
        </w:tc>
      </w:tr>
      <w:tr>
        <w:tc>
          <w:tcPr>
            <w:tcW w:type="dxa" w:w="4703"/>
          </w:tcPr>
          <w:p>
            <w:r>
              <w:t>RNF-01</w:t>
            </w:r>
          </w:p>
        </w:tc>
        <w:tc>
          <w:tcPr>
            <w:tcW w:type="dxa" w:w="4703"/>
          </w:tcPr>
          <w:p>
            <w:r>
              <w:t>Protocolo SOAP mediante mensajes XML sobre HTTP, con contrato JAX-WS/WSDL; mensajes XML sobre HTTP.</w:t>
            </w:r>
          </w:p>
        </w:tc>
      </w:tr>
      <w:tr>
        <w:tc>
          <w:tcPr>
            <w:tcW w:type="dxa" w:w="4703"/>
          </w:tcPr>
          <w:p>
            <w:r>
              <w:t>RNF-02</w:t>
            </w:r>
          </w:p>
        </w:tc>
        <w:tc>
          <w:tcPr>
            <w:tcW w:type="dxa" w:w="4703"/>
          </w:tcPr>
          <w:p>
            <w:r>
              <w:t>Servidor Java 21, Jakarta EE 11 y JAX-WS API 4.0.3; construcción Maven y empaquetado WAR.</w:t>
            </w:r>
          </w:p>
        </w:tc>
      </w:tr>
      <w:tr>
        <w:tc>
          <w:tcPr>
            <w:tcW w:type="dxa" w:w="4703"/>
          </w:tcPr>
          <w:p>
            <w:r>
              <w:t>RNF-03</w:t>
            </w:r>
          </w:p>
        </w:tc>
        <w:tc>
          <w:tcPr>
            <w:tcW w:type="dxa" w:w="4703"/>
          </w:tcPr>
          <w:p>
            <w:r>
              <w:t>Servidor web configurado con context-root /04.SERVIDOR; endpoint identifica WSConversionUnidades_Java_SOAP_GR09.</w:t>
            </w:r>
          </w:p>
        </w:tc>
      </w:tr>
      <w:tr>
        <w:tc>
          <w:tcPr>
            <w:tcW w:type="dxa" w:w="4703"/>
          </w:tcPr>
          <w:p>
            <w:r>
              <w:t>RNF-04</w:t>
            </w:r>
          </w:p>
        </w:tc>
        <w:tc>
          <w:tcPr>
            <w:tcW w:type="dxa" w:w="4703"/>
          </w:tcPr>
          <w:p>
            <w:r>
              <w:t>No implementar base de datos; credenciales, token y contraseña modificada residen en memoria.</w:t>
            </w:r>
          </w:p>
        </w:tc>
      </w:tr>
      <w:tr>
        <w:tc>
          <w:tcPr>
            <w:tcW w:type="dxa" w:w="4703"/>
          </w:tcPr>
          <w:p>
            <w:r>
              <w:t>RNF-05</w:t>
            </w:r>
          </w:p>
        </w:tc>
        <w:tc>
          <w:tcPr>
            <w:tcW w:type="dxa" w:w="4703"/>
          </w:tcPr>
          <w:p>
            <w:r>
              <w:t>Clientes: consola Java, escritorio Swing, web JSP/Servlet y Android Java.</w:t>
            </w:r>
          </w:p>
        </w:tc>
      </w:tr>
      <w:tr>
        <w:tc>
          <w:tcPr>
            <w:tcW w:type="dxa" w:w="4703"/>
          </w:tcPr>
          <w:p>
            <w:r>
              <w:t>RNF-06</w:t>
            </w:r>
          </w:p>
        </w:tc>
        <w:tc>
          <w:tcPr>
            <w:tcW w:type="dxa" w:w="4703"/>
          </w:tcPr>
          <w:p>
            <w:r>
              <w:t>Acceso protegido mediante token SOAP en encabezado; el token vence en 15 minutos.</w:t>
            </w:r>
          </w:p>
        </w:tc>
      </w:tr>
      <w:tr>
        <w:tc>
          <w:tcPr>
            <w:tcW w:type="dxa" w:w="4703"/>
          </w:tcPr>
          <w:p>
            <w:r>
              <w:t>RNF-07</w:t>
            </w:r>
          </w:p>
        </w:tc>
        <w:tc>
          <w:tcPr>
            <w:tcW w:type="dxa" w:w="4703"/>
          </w:tcPr>
          <w:p>
            <w:r>
              <w:t>Separar responsabilidades con MVC en los clientes y capas de control, servicio y modelo en el servidor.</w:t>
            </w:r>
          </w:p>
        </w:tc>
      </w:tr>
    </w:tbl>
    <w:p/>
    <w:p>
      <w:pPr>
        <w:pStyle w:val="Heading1"/>
      </w:pPr>
      <w:r>
        <w:t>5. Interfaces y contrato</w:t>
      </w:r>
    </w:p>
    <w:p>
      <w:r>
        <w:t>El WAR no fija el puerto, que depende del dominio del servidor de aplicaciones. Los clientes locales usan por defecto http://localhost:19080/04.SERVIDOR/WSConversionUnidades_Java_SOAP_GR09; Android Emulator usa 10.0.2.2. El WSDL está en la URL del endpoint seguida de ?wsdl. La consola permite sobrescribir URL mediante WS_BASE_URL o la propiedad ws.base.url.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Operación SOAP</w:t>
            </w:r>
          </w:p>
        </w:tc>
        <w:tc>
          <w:tcPr>
            <w:tcW w:type="dxa" w:w="2351"/>
          </w:tcPr>
          <w:p>
            <w:r>
              <w:t>Seguridad</w:t>
            </w:r>
          </w:p>
        </w:tc>
        <w:tc>
          <w:tcPr>
            <w:tcW w:type="dxa" w:w="2351"/>
          </w:tcPr>
          <w:p>
            <w:r>
              <w:t>Parámetros principales</w:t>
            </w:r>
          </w:p>
        </w:tc>
        <w:tc>
          <w:tcPr>
            <w:tcW w:type="dxa" w:w="2351"/>
          </w:tcPr>
          <w:p>
            <w:r>
              <w:t>Resultado</w:t>
            </w:r>
          </w:p>
        </w:tc>
      </w:tr>
      <w:tr>
        <w:tc>
          <w:tcPr>
            <w:tcW w:type="dxa" w:w="2351"/>
          </w:tcPr>
          <w:p>
            <w:r>
              <w:t>login</w:t>
            </w:r>
          </w:p>
        </w:tc>
        <w:tc>
          <w:tcPr>
            <w:tcW w:type="dxa" w:w="2351"/>
          </w:tcPr>
          <w:p>
            <w:r>
              <w:t>Pública</w:t>
            </w:r>
          </w:p>
        </w:tc>
        <w:tc>
          <w:tcPr>
            <w:tcW w:type="dxa" w:w="2351"/>
          </w:tcPr>
          <w:p>
            <w:r>
              <w:t>usuario, contrasenia</w:t>
            </w:r>
          </w:p>
        </w:tc>
        <w:tc>
          <w:tcPr>
            <w:tcW w:type="dxa" w:w="2351"/>
          </w:tcPr>
          <w:p>
            <w:r>
              <w:t>Token UUID como texto.</w:t>
            </w:r>
          </w:p>
        </w:tc>
      </w:tr>
      <w:tr>
        <w:tc>
          <w:tcPr>
            <w:tcW w:type="dxa" w:w="2351"/>
          </w:tcPr>
          <w:p>
            <w:r>
              <w:t>cambiarContrasenia</w:t>
            </w:r>
          </w:p>
        </w:tc>
        <w:tc>
          <w:tcPr>
            <w:tcW w:type="dxa" w:w="2351"/>
          </w:tcPr>
          <w:p>
            <w:r>
              <w:t>Token en encabezado SOAP</w:t>
            </w:r>
          </w:p>
        </w:tc>
        <w:tc>
          <w:tcPr>
            <w:tcW w:type="dxa" w:w="2351"/>
          </w:tcPr>
          <w:p>
            <w:r>
              <w:t>contraseniaActual, contraseniaNueva</w:t>
            </w:r>
          </w:p>
        </w:tc>
        <w:tc>
          <w:tcPr>
            <w:tcW w:type="dxa" w:w="2351"/>
          </w:tcPr>
          <w:p>
            <w:r>
              <w:t>Confirmación textual.</w:t>
            </w:r>
          </w:p>
        </w:tc>
      </w:tr>
      <w:tr>
        <w:tc>
          <w:tcPr>
            <w:tcW w:type="dxa" w:w="2351"/>
          </w:tcPr>
          <w:p>
            <w:r>
              <w:t>convertirLongitud</w:t>
            </w:r>
          </w:p>
        </w:tc>
        <w:tc>
          <w:tcPr>
            <w:tcW w:type="dxa" w:w="2351"/>
          </w:tcPr>
          <w:p>
            <w:r>
              <w:t>Token en encabezado SOAP</w:t>
            </w:r>
          </w:p>
        </w:tc>
        <w:tc>
          <w:tcPr>
            <w:tcW w:type="dxa" w:w="2351"/>
          </w:tcPr>
          <w:p>
            <w:r>
              <w:t>valor, unidadInicial, unidadFinal</w:t>
            </w:r>
          </w:p>
        </w:tc>
        <w:tc>
          <w:tcPr>
            <w:tcW w:type="dxa" w:w="2351"/>
          </w:tcPr>
          <w:p>
            <w:r>
              <w:t>Número decimal.</w:t>
            </w:r>
          </w:p>
        </w:tc>
      </w:tr>
      <w:tr>
        <w:tc>
          <w:tcPr>
            <w:tcW w:type="dxa" w:w="2351"/>
          </w:tcPr>
          <w:p>
            <w:r>
              <w:t>convertirMasa</w:t>
            </w:r>
          </w:p>
        </w:tc>
        <w:tc>
          <w:tcPr>
            <w:tcW w:type="dxa" w:w="2351"/>
          </w:tcPr>
          <w:p>
            <w:r>
              <w:t>Token en encabezado SOAP</w:t>
            </w:r>
          </w:p>
        </w:tc>
        <w:tc>
          <w:tcPr>
            <w:tcW w:type="dxa" w:w="2351"/>
          </w:tcPr>
          <w:p>
            <w:r>
              <w:t>valor, unidadInicial, unidadFinal</w:t>
            </w:r>
          </w:p>
        </w:tc>
        <w:tc>
          <w:tcPr>
            <w:tcW w:type="dxa" w:w="2351"/>
          </w:tcPr>
          <w:p>
            <w:r>
              <w:t>Número decimal.</w:t>
            </w:r>
          </w:p>
        </w:tc>
      </w:tr>
      <w:tr>
        <w:tc>
          <w:tcPr>
            <w:tcW w:type="dxa" w:w="2351"/>
          </w:tcPr>
          <w:p>
            <w:r>
              <w:t>convertirTemperatura</w:t>
            </w:r>
          </w:p>
        </w:tc>
        <w:tc>
          <w:tcPr>
            <w:tcW w:type="dxa" w:w="2351"/>
          </w:tcPr>
          <w:p>
            <w:r>
              <w:t>Token en encabezado SOAP</w:t>
            </w:r>
          </w:p>
        </w:tc>
        <w:tc>
          <w:tcPr>
            <w:tcW w:type="dxa" w:w="2351"/>
          </w:tcPr>
          <w:p>
            <w:r>
              <w:t>valor, unidadInicial, unidadFinal</w:t>
            </w:r>
          </w:p>
        </w:tc>
        <w:tc>
          <w:tcPr>
            <w:tcW w:type="dxa" w:w="2351"/>
          </w:tcPr>
          <w:p>
            <w:r>
              <w:t>Número decimal.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Magnitud</w:t>
            </w:r>
          </w:p>
        </w:tc>
        <w:tc>
          <w:tcPr>
            <w:tcW w:type="dxa" w:w="4703"/>
          </w:tcPr>
          <w:p>
            <w:r>
              <w:t>Unidades implementadas</w:t>
            </w:r>
          </w:p>
        </w:tc>
      </w:tr>
      <w:tr>
        <w:tc>
          <w:tcPr>
            <w:tcW w:type="dxa" w:w="4703"/>
          </w:tcPr>
          <w:p>
            <w:r>
              <w:t>Longitud</w:t>
            </w:r>
          </w:p>
        </w:tc>
        <w:tc>
          <w:tcPr>
            <w:tcW w:type="dxa" w:w="4703"/>
          </w:tcPr>
          <w:p>
            <w:r>
              <w:t>MILIMETRO, CENTIMETRO, METRO, KILOMETRO, YARDA</w:t>
            </w:r>
          </w:p>
        </w:tc>
      </w:tr>
      <w:tr>
        <w:tc>
          <w:tcPr>
            <w:tcW w:type="dxa" w:w="4703"/>
          </w:tcPr>
          <w:p>
            <w:r>
              <w:t>Masa</w:t>
            </w:r>
          </w:p>
        </w:tc>
        <w:tc>
          <w:tcPr>
            <w:tcW w:type="dxa" w:w="4703"/>
          </w:tcPr>
          <w:p>
            <w:r>
              <w:t>MILIGRAMO, GRAMO, KILOGRAMO, TONELADA, ONZA</w:t>
            </w:r>
          </w:p>
        </w:tc>
      </w:tr>
      <w:tr>
        <w:tc>
          <w:tcPr>
            <w:tcW w:type="dxa" w:w="4703"/>
          </w:tcPr>
          <w:p>
            <w:r>
              <w:t>Temperatura</w:t>
            </w:r>
          </w:p>
        </w:tc>
        <w:tc>
          <w:tcPr>
            <w:tcW w:type="dxa" w:w="4703"/>
          </w:tcPr>
          <w:p>
            <w:r>
              <w:t>CELSIUS, FAHRENHEIT, KELVIN, RANKINE</w:t>
            </w:r>
          </w:p>
        </w:tc>
      </w:tr>
    </w:tbl>
    <w:p/>
    <w:p>
      <w:r>
        <w:t>El encabezado SOAP autenticado contiene un elemento token. Los clientes no intercambian JSON con este servidor.</w:t>
      </w:r>
    </w:p>
    <w:p>
      <w:pPr>
        <w:pStyle w:val="Heading1"/>
      </w:pPr>
      <w:r>
        <w:t>6. Credenciales y restricciones</w:t>
      </w:r>
    </w:p>
    <w:p>
      <w:r>
        <w:t>Credenciales iniciales comprobadas en el servidor: usuario Monster y contraseña Monster9; distinguen mayúsculas y minúsculas. cambiarContrasenia modifica el valor en memoria y no lo conserva tras reiniciar el servidor. Los tokens también se pierden al reiniciar.</w:t>
      </w:r>
    </w:p>
    <w:p>
      <w:r>
        <w:t>No se implementan registro de usuarios, perfiles, persistencia, REST, conversión de divisas, volumen, área ni tiempo. El endpoint depende de un runtime Jakarta EE con JAX-WS compatible; el descriptor GlassFish establece el context root. No existe operación SOAP para revocar token al cerrar sesión; el cliente lo elimina localmente y el token vence a los 15 minutos.</w:t>
      </w:r>
    </w:p>
    <w:p>
      <w:pPr>
        <w:pStyle w:val="Heading1"/>
      </w:pPr>
      <w:r>
        <w:t>7. Trazabilidad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Requisitos</w:t>
            </w:r>
          </w:p>
        </w:tc>
        <w:tc>
          <w:tcPr>
            <w:tcW w:type="dxa" w:w="4703"/>
          </w:tcPr>
          <w:p>
            <w:r>
              <w:t>Componentes de referencia</w:t>
            </w:r>
          </w:p>
        </w:tc>
      </w:tr>
      <w:tr>
        <w:tc>
          <w:tcPr>
            <w:tcW w:type="dxa" w:w="4703"/>
          </w:tcPr>
          <w:p>
            <w:r>
              <w:t>RF-01, RF-02, RF-06, RF-07</w:t>
            </w:r>
          </w:p>
        </w:tc>
        <w:tc>
          <w:tcPr>
            <w:tcW w:type="dxa" w:w="4703"/>
          </w:tcPr>
          <w:p>
            <w:r>
              <w:t>WSConversionUnidades_Java_SOAP_GR09, AdministradorCredenciales, AdministradorTokens y ManejadorAutenticacion.</w:t>
            </w:r>
          </w:p>
        </w:tc>
      </w:tr>
      <w:tr>
        <w:tc>
          <w:tcPr>
            <w:tcW w:type="dxa" w:w="4703"/>
          </w:tcPr>
          <w:p>
            <w:r>
              <w:t>RF-03, RF-04, RF-05</w:t>
            </w:r>
          </w:p>
        </w:tc>
        <w:tc>
          <w:tcPr>
            <w:tcW w:type="dxa" w:w="4703"/>
          </w:tcPr>
          <w:p>
            <w:r>
              <w:t>ServicioConversor, ConversorLongitud, ConversorMasa, ConversorTemperatura y enumeraciones de unidades.</w:t>
            </w:r>
          </w:p>
        </w:tc>
      </w:tr>
      <w:tr>
        <w:tc>
          <w:tcPr>
            <w:tcW w:type="dxa" w:w="4703"/>
          </w:tcPr>
          <w:p>
            <w:r>
              <w:t>RF-01 a RF-07</w:t>
            </w:r>
          </w:p>
        </w:tc>
        <w:tc>
          <w:tcPr>
            <w:tcW w:type="dxa" w:w="4703"/>
          </w:tcPr>
          <w:p>
            <w:r>
              <w:t>Clientes de consola, escritorio, web y Android; adaptadores/servicios SOAP y vistas de cada cliente.</w:t>
            </w:r>
          </w:p>
        </w:tc>
      </w:tr>
    </w:tbl>
    <w:p/>
    <w:p>
      <w:pPr>
        <w:pStyle w:val="Heading1"/>
      </w:pPr>
      <w:r>
        <w:t>8. Definiciones y abreviaturas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Término</w:t>
            </w:r>
          </w:p>
        </w:tc>
        <w:tc>
          <w:tcPr>
            <w:tcW w:type="dxa" w:w="4703"/>
          </w:tcPr>
          <w:p>
            <w:r>
              <w:t>Definición</w:t>
            </w:r>
          </w:p>
        </w:tc>
      </w:tr>
      <w:tr>
        <w:tc>
          <w:tcPr>
            <w:tcW w:type="dxa" w:w="4703"/>
          </w:tcPr>
          <w:p>
            <w:r>
              <w:t>SOAP</w:t>
            </w:r>
          </w:p>
        </w:tc>
        <w:tc>
          <w:tcPr>
            <w:tcW w:type="dxa" w:w="4703"/>
          </w:tcPr>
          <w:p>
            <w:r>
              <w:t>Protocolo de mensajería XML para servicios web.</w:t>
            </w:r>
          </w:p>
        </w:tc>
      </w:tr>
      <w:tr>
        <w:tc>
          <w:tcPr>
            <w:tcW w:type="dxa" w:w="4703"/>
          </w:tcPr>
          <w:p>
            <w:r>
              <w:t>WSDL</w:t>
            </w:r>
          </w:p>
        </w:tc>
        <w:tc>
          <w:tcPr>
            <w:tcW w:type="dxa" w:w="4703"/>
          </w:tcPr>
          <w:p>
            <w:r>
              <w:t>Contrato XML de operaciones y tipos del servicio SOAP.</w:t>
            </w:r>
          </w:p>
        </w:tc>
      </w:tr>
      <w:tr>
        <w:tc>
          <w:tcPr>
            <w:tcW w:type="dxa" w:w="4703"/>
          </w:tcPr>
          <w:p>
            <w:r>
              <w:t>JAX-WS</w:t>
            </w:r>
          </w:p>
        </w:tc>
        <w:tc>
          <w:tcPr>
            <w:tcW w:type="dxa" w:w="4703"/>
          </w:tcPr>
          <w:p>
            <w:r>
              <w:t>API Java usada para publicar y consumir servicios SOAP.</w:t>
            </w:r>
          </w:p>
        </w:tc>
      </w:tr>
      <w:tr>
        <w:tc>
          <w:tcPr>
            <w:tcW w:type="dxa" w:w="4703"/>
          </w:tcPr>
          <w:p>
            <w:r>
              <w:t>MVC</w:t>
            </w:r>
          </w:p>
        </w:tc>
        <w:tc>
          <w:tcPr>
            <w:tcW w:type="dxa" w:w="4703"/>
          </w:tcPr>
          <w:p>
            <w:r>
              <w:t>Modelo-Vista-Controlador para separar responsabilidades en clientes.</w:t>
            </w:r>
          </w:p>
        </w:tc>
      </w:tr>
      <w:tr>
        <w:tc>
          <w:tcPr>
            <w:tcW w:type="dxa" w:w="4703"/>
          </w:tcPr>
          <w:p>
            <w:r>
              <w:t>Token</w:t>
            </w:r>
          </w:p>
        </w:tc>
        <w:tc>
          <w:tcPr>
            <w:tcW w:type="dxa" w:w="4703"/>
          </w:tcPr>
          <w:p>
            <w:r>
              <w:t>Credencial temporal transportada en un encabezado SOAP.</w:t>
            </w:r>
          </w:p>
        </w:tc>
      </w:tr>
      <w:tr>
        <w:tc>
          <w:tcPr>
            <w:tcW w:type="dxa" w:w="4703"/>
          </w:tcPr>
          <w:p>
            <w:r>
              <w:t>BDD</w:t>
            </w:r>
          </w:p>
        </w:tc>
        <w:tc>
          <w:tcPr>
            <w:tcW w:type="dxa" w:w="4703"/>
          </w:tcPr>
          <w:p>
            <w:r>
              <w:t>Base de datos; no se implementa en este proyecto.</w:t>
            </w:r>
          </w:p>
        </w:tc>
      </w:tr>
    </w:tbl>
    <w:p/>
    <w:p>
      <w:pPr>
        <w:pStyle w:val="Heading1"/>
      </w:pPr>
      <w:r>
        <w:t>9. Referencias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Fuente</w:t>
            </w:r>
          </w:p>
        </w:tc>
        <w:tc>
          <w:tcPr>
            <w:tcW w:type="dxa" w:w="4703"/>
          </w:tcPr>
          <w:p>
            <w:r>
              <w:t>Uso en este ERS</w:t>
            </w:r>
          </w:p>
        </w:tc>
      </w:tr>
      <w:tr>
        <w:tc>
          <w:tcPr>
            <w:tcW w:type="dxa" w:w="4703"/>
          </w:tcPr>
          <w:p>
            <w:r>
              <w:t>Código del servidor</w:t>
            </w:r>
          </w:p>
        </w:tc>
        <w:tc>
          <w:tcPr>
            <w:tcW w:type="dxa" w:w="4703"/>
          </w:tcPr>
          <w:p>
            <w:r>
              <w:t>04. SERVIDOR/WSConversionUnidades_Java_SOAP_GR09: pom.xml, servicio, conversores y seguridad.</w:t>
            </w:r>
          </w:p>
        </w:tc>
      </w:tr>
      <w:tr>
        <w:tc>
          <w:tcPr>
            <w:tcW w:type="dxa" w:w="4703"/>
          </w:tcPr>
          <w:p>
            <w:r>
              <w:t>Clientes</w:t>
            </w:r>
          </w:p>
        </w:tc>
        <w:tc>
          <w:tcPr>
            <w:tcW w:type="dxa" w:w="4703"/>
          </w:tcPr>
          <w:p>
            <w:r>
              <w:t>POM de consola/escritorio/web y build.gradle.kts del cliente Android.</w:t>
            </w:r>
          </w:p>
        </w:tc>
      </w:tr>
      <w:tr>
        <w:tc>
          <w:tcPr>
            <w:tcW w:type="dxa" w:w="4703"/>
          </w:tcPr>
          <w:p>
            <w:r>
              <w:t>Documentación del proyecto</w:t>
            </w:r>
          </w:p>
        </w:tc>
        <w:tc>
          <w:tcPr>
            <w:tcW w:type="dxa" w:w="4703"/>
          </w:tcPr>
          <w:p>
            <w:r>
              <w:t>El manual técnico GR09 describe contrato y despliegue del servicio SOAP.</w:t>
            </w:r>
          </w:p>
        </w:tc>
      </w:tr>
    </w:tbl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