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ESPECIFICACIÓN DE REQUERIMIENTOS DE SOFTWARE</w:t>
      </w:r>
    </w:p>
    <w:p>
      <w:pPr>
        <w:pStyle w:val="Subtitle"/>
      </w:pPr>
      <w:r>
        <w:t xml:space="preserve">Conversor de Unidades Monster · REST .NET sin BDD</w:t>
      </w:r>
    </w:p>
    <w:p>
      <w:pPr>
        <w:jc w:val="center"/>
      </w:pPr>
      <w:r>
        <w:rPr>
          <w:b/>
          <w:color w:val="526C7D"/>
          <w:sz w:val="22"/>
          <w:szCs w:val="22"/>
        </w:rPr>
        <w:t xml:space="preserve">TI.1.1  |  PAO202651  |  NRC36884  |  GR09</w:t>
      </w:r>
    </w:p>
    <w:p>
      <w:pPr>
        <w:jc w:val="center"/>
      </w:pPr>
      <w:r>
        <w:rPr>
          <w:sz w:val="22"/>
          <w:szCs w:val="22"/>
        </w:rPr>
        <w:t xml:space="preserve">Autor: Gabriel Omar Murillo Medina</w:t>
      </w:r>
    </w:p>
    <w:p>
      <w:pPr>
        <w:jc w:val="center"/>
      </w:pPr>
      <w:r>
        <w:rPr>
          <w:sz w:val="22"/>
          <w:szCs w:val="22"/>
        </w:rPr>
        <w:t xml:space="preserve">Tutor: Ing. Eduardo Mauricio Campaña Ortega</w:t>
      </w:r>
    </w:p>
    <w:p>
      <w:pPr>
        <w:jc w:val="center"/>
      </w:pPr>
      <w:r>
        <w:rPr>
          <w:sz w:val="22"/>
          <w:szCs w:val="22"/>
        </w:rPr>
        <w:t xml:space="preserve">Fecha: 13 de octubre de 2026</w:t>
      </w:r>
    </w:p>
    <w:p>
      <w:r>
        <w:br w:type="page"/>
      </w:r>
    </w:p>
    <w:p>
      <w:pPr>
        <w:pStyle w:val="Heading1"/>
      </w:pPr>
      <w:r>
        <w:t xml:space="preserve">1. Propósito y alcance</w:t>
      </w:r>
    </w:p>
    <w:p>
      <w:r>
        <w:t xml:space="preserve">Este documento especifica requisitos del Conversor de Unidades Monster con arquitectura cliente-servidor y API REST en C# sobre .NET 10. El servidor ofrece autenticación temporal, catálogo y conversiones de longitud, masa y temperatura a cuatro clientes independientes: consola, escritorio WPF, navegador y Android. No existe persistencia ni base de datos.</w:t>
      </w:r>
    </w:p>
    <w:p>
      <w:pPr>
        <w:pStyle w:val="Heading1"/>
      </w:pPr>
      <w:r>
        <w:t xml:space="preserve">2. Descripción general</w:t>
      </w:r>
    </w:p>
    <w:p>
      <w:r>
        <w:t xml:space="preserve">Los clientes envían solicitudes HTTP con JSON. El servidor valida los datos, controla el token y ejecuta la lógica centralizada. Las respuestas usan JSON y códigos HTTP. El contrato OpenAPI se publica en /openapi/v1.json.</w:t>
      </w:r>
    </w:p>
    <w:tbl>
      <w:tblPr>
        <w:tblW w:w="5000" w:type="pct"/>
        <w:tblLayout w:type="fixed"/>
        <w:tblBorders>
          <w:top w:val="single" w:sz="5" w:space="0" w:color="C7D4DE"/>
          <w:left w:val="single" w:sz="5" w:space="0" w:color="C7D4DE"/>
          <w:bottom w:val="single" w:sz="5" w:space="0" w:color="C7D4DE"/>
          <w:right w:val="single" w:sz="5" w:space="0" w:color="C7D4DE"/>
          <w:insideH w:val="single" w:sz="5" w:space="0" w:color="C7D4DE"/>
          <w:insideV w:val="single" w:sz="5" w:space="0" w:color="C7D4DE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50"/>
        <w:gridCol w:w="2900"/>
        <w:gridCol w:w="4710"/>
      </w:tblGrid>
      <w:tr>
        <w:trPr>
          <w:tblHeader/>
        </w:trPr>
        <w:tc>
          <w:tcPr>
            <w:tcW w:w="1750" w:type="dxa"/>
            <w:shd w:fill="15324B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w="2900" w:type="dxa"/>
            <w:shd w:fill="15324B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Tecnología</w:t>
            </w:r>
          </w:p>
        </w:tc>
        <w:tc>
          <w:tcPr>
            <w:tcW w:w="4710" w:type="dxa"/>
            <w:shd w:fill="15324B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w="175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Servidor</w:t>
            </w:r>
          </w:p>
        </w:tc>
        <w:tc>
          <w:tcPr>
            <w:tcW w:w="290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C# 14 · .NET 10 · ASP.NET Core Web API · Kestrel</w:t>
            </w:r>
          </w:p>
        </w:tc>
        <w:tc>
          <w:tcPr>
            <w:tcW w:w="471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Controladores REST, servicios de negocio, catálogo en memoria y tokens temporales.</w:t>
            </w:r>
          </w:p>
        </w:tc>
      </w:tr>
      <w:tr>
        <w:tc>
          <w:tcPr>
            <w:tcW w:w="175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Consola</w:t>
            </w:r>
          </w:p>
        </w:tc>
        <w:tc>
          <w:tcPr>
            <w:tcW w:w="290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.NET 10 · aplicación de terminal</w:t>
            </w:r>
          </w:p>
        </w:tc>
        <w:tc>
          <w:tcPr>
            <w:tcW w:w="471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Autenticación, consulta de catálogo y conversión por consola.</w:t>
            </w:r>
          </w:p>
        </w:tc>
      </w:tr>
      <w:tr>
        <w:tc>
          <w:tcPr>
            <w:tcW w:w="175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Escritorio</w:t>
            </w:r>
          </w:p>
        </w:tc>
        <w:tc>
          <w:tcPr>
            <w:tcW w:w="290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WPF · .NET 10</w:t>
            </w:r>
          </w:p>
        </w:tc>
        <w:tc>
          <w:tcPr>
            <w:tcW w:w="471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Interfaz de Windows para autenticación y conversión.</w:t>
            </w:r>
          </w:p>
        </w:tc>
      </w:tr>
      <w:tr>
        <w:tc>
          <w:tcPr>
            <w:tcW w:w="175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Web</w:t>
            </w:r>
          </w:p>
        </w:tc>
        <w:tc>
          <w:tcPr>
            <w:tcW w:w="290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ASP.NET Core MVC · .NET 10</w:t>
            </w:r>
          </w:p>
        </w:tc>
        <w:tc>
          <w:tcPr>
            <w:tcW w:w="471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Interfaz web; guarda el token en sesión web temporal.</w:t>
            </w:r>
          </w:p>
        </w:tc>
      </w:tr>
      <w:tr>
        <w:tc>
          <w:tcPr>
            <w:tcW w:w="175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Android</w:t>
            </w:r>
          </w:p>
        </w:tc>
        <w:tc>
          <w:tcPr>
            <w:tcW w:w="290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.NET MAUI 10 · C# 14</w:t>
            </w:r>
          </w:p>
        </w:tc>
        <w:tc>
          <w:tcPr>
            <w:tcW w:w="471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Interfaz Android que consume la misma API REST.</w:t>
            </w:r>
          </w:p>
        </w:tc>
      </w:tr>
    </w:tbl>
    <w:p>
      <w:pPr>
        <w:pStyle w:val="Heading1"/>
      </w:pPr>
      <w:r>
        <w:t xml:space="preserve">3. Requisitos funcionales</w:t>
      </w:r>
    </w:p>
    <w:tbl>
      <w:tblPr>
        <w:tblW w:w="5000" w:type="pct"/>
        <w:tblLayout w:type="fixed"/>
        <w:tblBorders>
          <w:top w:val="single" w:sz="5" w:space="0" w:color="C7D4DE"/>
          <w:left w:val="single" w:sz="5" w:space="0" w:color="C7D4DE"/>
          <w:bottom w:val="single" w:sz="5" w:space="0" w:color="C7D4DE"/>
          <w:right w:val="single" w:sz="5" w:space="0" w:color="C7D4DE"/>
          <w:insideH w:val="single" w:sz="5" w:space="0" w:color="C7D4DE"/>
          <w:insideV w:val="single" w:sz="5" w:space="0" w:color="C7D4DE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050"/>
        <w:gridCol w:w="2050"/>
        <w:gridCol w:w="6260"/>
      </w:tblGrid>
      <w:tr>
        <w:trPr>
          <w:tblHeader/>
        </w:trPr>
        <w:tc>
          <w:tcPr>
            <w:tcW w:w="1050" w:type="dxa"/>
            <w:shd w:fill="15324B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2050" w:type="dxa"/>
            <w:shd w:fill="15324B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w="6260" w:type="dxa"/>
            <w:shd w:fill="15324B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Criterio de aceptación</w:t>
            </w:r>
          </w:p>
        </w:tc>
      </w:tr>
      <w:tr>
        <w:tc>
          <w:tcPr>
            <w:tcW w:w="105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RF-01</w:t>
            </w:r>
          </w:p>
        </w:tc>
        <w:tc>
          <w:tcPr>
            <w:tcW w:w="205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Autenticación</w:t>
            </w:r>
          </w:p>
        </w:tc>
        <w:tc>
          <w:tcPr>
            <w:tcW w:w="626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Validar usuario y clave; emitir token Bearer aleatorio con duración de 10 minutos.</w:t>
            </w:r>
          </w:p>
        </w:tc>
      </w:tr>
      <w:tr>
        <w:tc>
          <w:tcPr>
            <w:tcW w:w="105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RF-02</w:t>
            </w:r>
          </w:p>
        </w:tc>
        <w:tc>
          <w:tcPr>
            <w:tcW w:w="205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Catálogo</w:t>
            </w:r>
          </w:p>
        </w:tc>
        <w:tc>
          <w:tcPr>
            <w:tcW w:w="626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Exponer públicamente las magnitudes y unidades disponibles.</w:t>
            </w:r>
          </w:p>
        </w:tc>
      </w:tr>
      <w:tr>
        <w:tc>
          <w:tcPr>
            <w:tcW w:w="105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RF-03</w:t>
            </w:r>
          </w:p>
        </w:tc>
        <w:tc>
          <w:tcPr>
            <w:tcW w:w="205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Longitud</w:t>
            </w:r>
          </w:p>
        </w:tc>
        <w:tc>
          <w:tcPr>
            <w:tcW w:w="626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Convertir milímetros, centímetros, metros, kilómetros, pies, yardas y millas.</w:t>
            </w:r>
          </w:p>
        </w:tc>
      </w:tr>
      <w:tr>
        <w:tc>
          <w:tcPr>
            <w:tcW w:w="105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RF-04</w:t>
            </w:r>
          </w:p>
        </w:tc>
        <w:tc>
          <w:tcPr>
            <w:tcW w:w="205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Masa</w:t>
            </w:r>
          </w:p>
        </w:tc>
        <w:tc>
          <w:tcPr>
            <w:tcW w:w="626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Convertir miligramos, gramos, kilogramos, toneladas, onzas, libras y quintales.</w:t>
            </w:r>
          </w:p>
        </w:tc>
      </w:tr>
      <w:tr>
        <w:tc>
          <w:tcPr>
            <w:tcW w:w="105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RF-05</w:t>
            </w:r>
          </w:p>
        </w:tc>
        <w:tc>
          <w:tcPr>
            <w:tcW w:w="205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Temperatura</w:t>
            </w:r>
          </w:p>
        </w:tc>
        <w:tc>
          <w:tcPr>
            <w:tcW w:w="626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Convertir Celsius, Fahrenheit, Kelvin, Rankine, Newton y Réaumur.</w:t>
            </w:r>
          </w:p>
        </w:tc>
      </w:tr>
      <w:tr>
        <w:tc>
          <w:tcPr>
            <w:tcW w:w="105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RF-06</w:t>
            </w:r>
          </w:p>
        </w:tc>
        <w:tc>
          <w:tcPr>
            <w:tcW w:w="205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Autorización</w:t>
            </w:r>
          </w:p>
        </w:tc>
        <w:tc>
          <w:tcPr>
            <w:tcW w:w="626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Exigir token válido para conversiones y cierre de sesión; rechazar ausente, inválido o vencido.</w:t>
            </w:r>
          </w:p>
        </w:tc>
      </w:tr>
      <w:tr>
        <w:tc>
          <w:tcPr>
            <w:tcW w:w="105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RF-07</w:t>
            </w:r>
          </w:p>
        </w:tc>
        <w:tc>
          <w:tcPr>
            <w:tcW w:w="205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Cierre de sesión</w:t>
            </w:r>
          </w:p>
        </w:tc>
        <w:tc>
          <w:tcPr>
            <w:tcW w:w="626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Revocar el token activo y confirmar el cierre.</w:t>
            </w:r>
          </w:p>
        </w:tc>
      </w:tr>
      <w:tr>
        <w:tc>
          <w:tcPr>
            <w:tcW w:w="105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RF-08</w:t>
            </w:r>
          </w:p>
        </w:tc>
        <w:tc>
          <w:tcPr>
            <w:tcW w:w="205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Errores</w:t>
            </w:r>
          </w:p>
        </w:tc>
        <w:tc>
          <w:tcPr>
            <w:tcW w:w="626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Informar entradas inválidas, credenciales incorrectas, unidades no soportadas y rutas inexistentes en JSON.</w:t>
            </w:r>
          </w:p>
        </w:tc>
      </w:tr>
    </w:tbl>
    <w:p>
      <w:pPr>
        <w:pStyle w:val="Heading1"/>
      </w:pPr>
      <w:r>
        <w:t xml:space="preserve">4. Requisitos no funcionales</w:t>
      </w:r>
    </w:p>
    <w:tbl>
      <w:tblPr>
        <w:tblW w:w="5000" w:type="pct"/>
        <w:tblLayout w:type="fixed"/>
        <w:tblBorders>
          <w:top w:val="single" w:sz="5" w:space="0" w:color="C7D4DE"/>
          <w:left w:val="single" w:sz="5" w:space="0" w:color="C7D4DE"/>
          <w:bottom w:val="single" w:sz="5" w:space="0" w:color="C7D4DE"/>
          <w:right w:val="single" w:sz="5" w:space="0" w:color="C7D4DE"/>
          <w:insideH w:val="single" w:sz="5" w:space="0" w:color="C7D4DE"/>
          <w:insideV w:val="single" w:sz="5" w:space="0" w:color="C7D4DE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0"/>
        <w:gridCol w:w="7910"/>
      </w:tblGrid>
      <w:tr>
        <w:trPr>
          <w:tblHeader/>
        </w:trPr>
        <w:tc>
          <w:tcPr>
            <w:tcW w:w="1450" w:type="dxa"/>
            <w:shd w:fill="15324B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7910" w:type="dxa"/>
            <w:shd w:fill="15324B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Requisito</w:t>
            </w:r>
          </w:p>
        </w:tc>
      </w:tr>
      <w:tr>
        <w:tc>
          <w:tcPr>
            <w:tcW w:w="145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RNF-01</w:t>
            </w:r>
          </w:p>
        </w:tc>
        <w:tc>
          <w:tcPr>
            <w:tcW w:w="791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Servidor en C# 14 y .NET 10 con ASP.NET Core Web API, Kestrel y System.Text.Json.</w:t>
            </w:r>
          </w:p>
        </w:tc>
      </w:tr>
      <w:tr>
        <w:tc>
          <w:tcPr>
            <w:tcW w:w="145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RNF-02</w:t>
            </w:r>
          </w:p>
        </w:tc>
        <w:tc>
          <w:tcPr>
            <w:tcW w:w="791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Comunicación REST sobre HTTP con solicitudes y respuestas JSON; contrato OpenAPI disponible.</w:t>
            </w:r>
          </w:p>
        </w:tc>
      </w:tr>
      <w:tr>
        <w:tc>
          <w:tcPr>
            <w:tcW w:w="145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RNF-03</w:t>
            </w:r>
          </w:p>
        </w:tc>
        <w:tc>
          <w:tcPr>
            <w:tcW w:w="791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Sin base de datos. Catálogo, credenciales configuradas y tokens existen en memoria o configuración local.</w:t>
            </w:r>
          </w:p>
        </w:tc>
      </w:tr>
      <w:tr>
        <w:tc>
          <w:tcPr>
            <w:tcW w:w="145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RNF-04</w:t>
            </w:r>
          </w:p>
        </w:tc>
        <w:tc>
          <w:tcPr>
            <w:tcW w:w="791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Token temporal con vigencia de 10 minutos; el reinicio del servidor elimina tokens.</w:t>
            </w:r>
          </w:p>
        </w:tc>
      </w:tr>
      <w:tr>
        <w:tc>
          <w:tcPr>
            <w:tcW w:w="145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RNF-05</w:t>
            </w:r>
          </w:p>
        </w:tc>
        <w:tc>
          <w:tcPr>
            <w:tcW w:w="791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Cada cliente separa modelo, vista, controlador y servicio de comunicación.</w:t>
            </w:r>
          </w:p>
        </w:tc>
      </w:tr>
      <w:tr>
        <w:tc>
          <w:tcPr>
            <w:tcW w:w="145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RNF-06</w:t>
            </w:r>
          </w:p>
        </w:tc>
        <w:tc>
          <w:tcPr>
            <w:tcW w:w="791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Respuestas de error no revelan contraseñas, tokens ni detalles internos del servidor.</w:t>
            </w:r>
          </w:p>
        </w:tc>
      </w:tr>
    </w:tbl>
    <w:p>
      <w:pPr>
        <w:pStyle w:val="Heading1"/>
      </w:pPr>
      <w:r>
        <w:t xml:space="preserve">5. Interfaz REST</w:t>
      </w:r>
    </w:p>
    <w:tbl>
      <w:tblPr>
        <w:tblW w:w="5000" w:type="pct"/>
        <w:tblLayout w:type="fixed"/>
        <w:tblBorders>
          <w:top w:val="single" w:sz="5" w:space="0" w:color="C7D4DE"/>
          <w:left w:val="single" w:sz="5" w:space="0" w:color="C7D4DE"/>
          <w:bottom w:val="single" w:sz="5" w:space="0" w:color="C7D4DE"/>
          <w:right w:val="single" w:sz="5" w:space="0" w:color="C7D4DE"/>
          <w:insideH w:val="single" w:sz="5" w:space="0" w:color="C7D4DE"/>
          <w:insideV w:val="single" w:sz="5" w:space="0" w:color="C7D4DE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000"/>
        <w:gridCol w:w="3000"/>
        <w:gridCol w:w="1400"/>
        <w:gridCol w:w="3960"/>
      </w:tblGrid>
      <w:tr>
        <w:trPr>
          <w:tblHeader/>
        </w:trPr>
        <w:tc>
          <w:tcPr>
            <w:tcW w:w="1000" w:type="dxa"/>
            <w:shd w:fill="15324B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w="3000" w:type="dxa"/>
            <w:shd w:fill="15324B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w="1400" w:type="dxa"/>
            <w:shd w:fill="15324B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Acceso</w:t>
            </w:r>
          </w:p>
        </w:tc>
        <w:tc>
          <w:tcPr>
            <w:tcW w:w="3960" w:type="dxa"/>
            <w:shd w:fill="15324B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w="100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GET</w:t>
            </w:r>
          </w:p>
        </w:tc>
        <w:tc>
          <w:tcPr>
            <w:tcW w:w="300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/api/salud</w:t>
            </w:r>
          </w:p>
        </w:tc>
        <w:tc>
          <w:tcPr>
            <w:tcW w:w="140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Público</w:t>
            </w:r>
          </w:p>
        </w:tc>
        <w:tc>
          <w:tcPr>
            <w:tcW w:w="396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Estado del servidor.</w:t>
            </w:r>
          </w:p>
        </w:tc>
      </w:tr>
      <w:tr>
        <w:tc>
          <w:tcPr>
            <w:tcW w:w="100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POST</w:t>
            </w:r>
          </w:p>
        </w:tc>
        <w:tc>
          <w:tcPr>
            <w:tcW w:w="300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/api/auth/login</w:t>
            </w:r>
          </w:p>
        </w:tc>
        <w:tc>
          <w:tcPr>
            <w:tcW w:w="140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Público</w:t>
            </w:r>
          </w:p>
        </w:tc>
        <w:tc>
          <w:tcPr>
            <w:tcW w:w="396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Recibe usuario y clave; devuelve token y segundos restantes.</w:t>
            </w:r>
          </w:p>
        </w:tc>
      </w:tr>
      <w:tr>
        <w:tc>
          <w:tcPr>
            <w:tcW w:w="100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POST</w:t>
            </w:r>
          </w:p>
        </w:tc>
        <w:tc>
          <w:tcPr>
            <w:tcW w:w="300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/api/auth/logout</w:t>
            </w:r>
          </w:p>
        </w:tc>
        <w:tc>
          <w:tcPr>
            <w:tcW w:w="140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Bearer</w:t>
            </w:r>
          </w:p>
        </w:tc>
        <w:tc>
          <w:tcPr>
            <w:tcW w:w="396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Revoca token activo.</w:t>
            </w:r>
          </w:p>
        </w:tc>
      </w:tr>
      <w:tr>
        <w:tc>
          <w:tcPr>
            <w:tcW w:w="100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GET</w:t>
            </w:r>
          </w:p>
        </w:tc>
        <w:tc>
          <w:tcPr>
            <w:tcW w:w="300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/api/catalogo</w:t>
            </w:r>
          </w:p>
        </w:tc>
        <w:tc>
          <w:tcPr>
            <w:tcW w:w="140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Público</w:t>
            </w:r>
          </w:p>
        </w:tc>
        <w:tc>
          <w:tcPr>
            <w:tcW w:w="396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Devuelve unidades agrupadas por magnitud.</w:t>
            </w:r>
          </w:p>
        </w:tc>
      </w:tr>
      <w:tr>
        <w:tc>
          <w:tcPr>
            <w:tcW w:w="100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POST</w:t>
            </w:r>
          </w:p>
        </w:tc>
        <w:tc>
          <w:tcPr>
            <w:tcW w:w="300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/api/conversiones/longitud</w:t>
            </w:r>
          </w:p>
        </w:tc>
        <w:tc>
          <w:tcPr>
            <w:tcW w:w="140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Bearer</w:t>
            </w:r>
          </w:p>
        </w:tc>
        <w:tc>
          <w:tcPr>
            <w:tcW w:w="396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Convierte unidades de longitud.</w:t>
            </w:r>
          </w:p>
        </w:tc>
      </w:tr>
      <w:tr>
        <w:tc>
          <w:tcPr>
            <w:tcW w:w="100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POST</w:t>
            </w:r>
          </w:p>
        </w:tc>
        <w:tc>
          <w:tcPr>
            <w:tcW w:w="300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/api/conversiones/masa</w:t>
            </w:r>
          </w:p>
        </w:tc>
        <w:tc>
          <w:tcPr>
            <w:tcW w:w="140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Bearer</w:t>
            </w:r>
          </w:p>
        </w:tc>
        <w:tc>
          <w:tcPr>
            <w:tcW w:w="396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Convierte unidades de masa.</w:t>
            </w:r>
          </w:p>
        </w:tc>
      </w:tr>
      <w:tr>
        <w:tc>
          <w:tcPr>
            <w:tcW w:w="100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POST</w:t>
            </w:r>
          </w:p>
        </w:tc>
        <w:tc>
          <w:tcPr>
            <w:tcW w:w="300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/api/conversiones/temperatura</w:t>
            </w:r>
          </w:p>
        </w:tc>
        <w:tc>
          <w:tcPr>
            <w:tcW w:w="140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Bearer</w:t>
            </w:r>
          </w:p>
        </w:tc>
        <w:tc>
          <w:tcPr>
            <w:tcW w:w="396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Convierte unidades de temperatura.</w:t>
            </w:r>
          </w:p>
        </w:tc>
      </w:tr>
    </w:tbl>
    <w:p>
      <w:r>
        <w:t xml:space="preserve">Solicitud de conversión: valor, unidadOrigen y unidadDestino. Respuesta exitosa: exito, magnitud, valor, unidadOrigen, unidadDestino, resultado y mensaje. Los nombres JSON usan camelCase. Las respuestas inválidas incluyen exito, codigo, error, mensaje, ruta y timestamp.</w:t>
      </w:r>
    </w:p>
    <w:p>
      <w:pPr>
        <w:pStyle w:val="Heading1"/>
      </w:pPr>
      <w:r>
        <w:t xml:space="preserve">6. Unidades y reglas</w:t>
      </w:r>
    </w:p>
    <w:tbl>
      <w:tblPr>
        <w:tblW w:w="5000" w:type="pct"/>
        <w:tblLayout w:type="fixed"/>
        <w:tblBorders>
          <w:top w:val="single" w:sz="5" w:space="0" w:color="C7D4DE"/>
          <w:left w:val="single" w:sz="5" w:space="0" w:color="C7D4DE"/>
          <w:bottom w:val="single" w:sz="5" w:space="0" w:color="C7D4DE"/>
          <w:right w:val="single" w:sz="5" w:space="0" w:color="C7D4DE"/>
          <w:insideH w:val="single" w:sz="5" w:space="0" w:color="C7D4DE"/>
          <w:insideV w:val="single" w:sz="5" w:space="0" w:color="C7D4DE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500"/>
        <w:gridCol w:w="3600"/>
        <w:gridCol w:w="4260"/>
      </w:tblGrid>
      <w:tr>
        <w:trPr>
          <w:tblHeader/>
        </w:trPr>
        <w:tc>
          <w:tcPr>
            <w:tcW w:w="1500" w:type="dxa"/>
            <w:shd w:fill="15324B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Magnitud</w:t>
            </w:r>
          </w:p>
        </w:tc>
        <w:tc>
          <w:tcPr>
            <w:tcW w:w="3600" w:type="dxa"/>
            <w:shd w:fill="15324B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Unidades admitidas</w:t>
            </w:r>
          </w:p>
        </w:tc>
        <w:tc>
          <w:tcPr>
            <w:tcW w:w="4260" w:type="dxa"/>
            <w:shd w:fill="15324B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Regla de cálculo</w:t>
            </w:r>
          </w:p>
        </w:tc>
      </w:tr>
      <w:tr>
        <w:tc>
          <w:tcPr>
            <w:tcW w:w="150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Longitud</w:t>
            </w:r>
          </w:p>
        </w:tc>
        <w:tc>
          <w:tcPr>
            <w:tcW w:w="360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milimetros, centimetros, metros, kilometros, pies, yardas, millas</w:t>
            </w:r>
          </w:p>
        </w:tc>
        <w:tc>
          <w:tcPr>
            <w:tcW w:w="426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Factores respecto al metro: 0,01; 1; 0,3048; 0,9144; 1609,344.</w:t>
            </w:r>
          </w:p>
        </w:tc>
      </w:tr>
      <w:tr>
        <w:tc>
          <w:tcPr>
            <w:tcW w:w="150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Masa</w:t>
            </w:r>
          </w:p>
        </w:tc>
        <w:tc>
          <w:tcPr>
            <w:tcW w:w="360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miligramos, gramos, kilogramos, toneladas, onzas, libras, quintales</w:t>
            </w:r>
          </w:p>
        </w:tc>
        <w:tc>
          <w:tcPr>
            <w:tcW w:w="426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Factores respecto al kilogramo: 0,001; 1; 0,028349523125; 0,45359237; 100.</w:t>
            </w:r>
          </w:p>
        </w:tc>
      </w:tr>
      <w:tr>
        <w:tc>
          <w:tcPr>
            <w:tcW w:w="150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Temperatura</w:t>
            </w:r>
          </w:p>
        </w:tc>
        <w:tc>
          <w:tcPr>
            <w:tcW w:w="360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celsius, fahrenheit, kelvin, rankine, newton, reaumur</w:t>
            </w:r>
          </w:p>
        </w:tc>
        <w:tc>
          <w:tcPr>
            <w:tcW w:w="426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Fórmulas estándar de ida y vuelta respecto a Celsius.</w:t>
            </w:r>
          </w:p>
        </w:tc>
      </w:tr>
    </w:tbl>
    <w:p>
      <w:r>
        <w:t xml:space="preserve">Las unidades se recortan y comparan sin distinguir mayúsculas. Longitud y masa usan factores lineales; temperatura usa fórmulas específicas. El resultado se redondea a seis decimales.</w:t>
      </w:r>
    </w:p>
    <w:p>
      <w:pPr>
        <w:pStyle w:val="Heading1"/>
      </w:pPr>
      <w:r>
        <w:t xml:space="preserve">7. Arquitectura y restricciones</w:t>
      </w:r>
    </w:p>
    <w:p>
      <w:pPr>
        <w:pStyle w:val="ListParagraph"/>
      </w:pPr>
      <w:r>
        <w:t xml:space="preserve">•  El servidor separa Controladores, Servicios, Modelos, Seguridad y Excepciones. El API no tiene una vista gráfica; las vistas están en los clientes.</w:t>
      </w:r>
    </w:p>
    <w:p>
      <w:pPr>
        <w:pStyle w:val="ListParagraph"/>
      </w:pPr>
      <w:r>
        <w:t xml:space="preserve">•  Consola, WPF y MAUI mantienen carpetas Modelos, Vistas, Controladores y Servicios. La aplicación web conserva Controllers, Models, Views y Services de ASP.NET Core MVC.</w:t>
      </w:r>
    </w:p>
    <w:p>
      <w:pPr>
        <w:pStyle w:val="ListParagraph"/>
      </w:pPr>
      <w:r>
        <w:t xml:space="preserve">•  Credenciales iniciales configuradas: usuario monster y clave monster9. El usuario y la clave se pueden ajustar en appsettings.json.</w:t>
      </w:r>
    </w:p>
    <w:p>
      <w:pPr>
        <w:pStyle w:val="ListParagraph"/>
      </w:pPr>
      <w:r>
        <w:t xml:space="preserve">•  El servidor escucha por defecto en http://127.0.0.1:19082. El cliente móvil usa 10.0.2.2 para el emulador Android.</w:t>
      </w:r>
    </w:p>
    <w:p>
      <w:pPr>
        <w:pStyle w:val="ListParagraph"/>
      </w:pPr>
      <w:r>
        <w:t xml:space="preserve">•  No incluye registro de usuarios, roles, historial, almacenamiento de conversiones ni consulta externa de divisas.</w:t>
      </w:r>
    </w:p>
    <w:p>
      <w:pPr>
        <w:pStyle w:val="Heading1"/>
      </w:pPr>
      <w:r>
        <w:t xml:space="preserve">8. Trazabilidad</w:t>
      </w:r>
    </w:p>
    <w:tbl>
      <w:tblPr>
        <w:tblW w:w="5000" w:type="pct"/>
        <w:tblLayout w:type="fixed"/>
        <w:tblBorders>
          <w:top w:val="single" w:sz="5" w:space="0" w:color="C7D4DE"/>
          <w:left w:val="single" w:sz="5" w:space="0" w:color="C7D4DE"/>
          <w:bottom w:val="single" w:sz="5" w:space="0" w:color="C7D4DE"/>
          <w:right w:val="single" w:sz="5" w:space="0" w:color="C7D4DE"/>
          <w:insideH w:val="single" w:sz="5" w:space="0" w:color="C7D4DE"/>
          <w:insideV w:val="single" w:sz="5" w:space="0" w:color="C7D4DE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800"/>
        <w:gridCol w:w="6560"/>
      </w:tblGrid>
      <w:tr>
        <w:trPr>
          <w:tblHeader/>
        </w:trPr>
        <w:tc>
          <w:tcPr>
            <w:tcW w:w="2800" w:type="dxa"/>
            <w:shd w:fill="15324B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Requisitos</w:t>
            </w:r>
          </w:p>
        </w:tc>
        <w:tc>
          <w:tcPr>
            <w:tcW w:w="6560" w:type="dxa"/>
            <w:shd w:fill="15324B"/>
          </w:tcPr>
          <w:p>
            <w:pPr>
              <w:spacing w:after="20"/>
            </w:pPr>
            <w:r>
              <w:rPr>
                <w:b/>
                <w:color w:val="FFFFFF"/>
                <w:sz w:val="18"/>
                <w:szCs w:val="18"/>
              </w:rPr>
              <w:t xml:space="preserve">Componentes</w:t>
            </w:r>
          </w:p>
        </w:tc>
      </w:tr>
      <w:tr>
        <w:tc>
          <w:tcPr>
            <w:tcW w:w="280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RF-01, RF-06, RF-07, RNF-04</w:t>
            </w:r>
          </w:p>
        </w:tc>
        <w:tc>
          <w:tcPr>
            <w:tcW w:w="656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AutenticacionController, ServicioAutenticacion, AdministradorTokens y MiddlewareToken.</w:t>
            </w:r>
          </w:p>
        </w:tc>
      </w:tr>
      <w:tr>
        <w:tc>
          <w:tcPr>
            <w:tcW w:w="280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RF-02 a RF-05</w:t>
            </w:r>
          </w:p>
        </w:tc>
        <w:tc>
          <w:tcPr>
            <w:tcW w:w="656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CatalogoController, ConversionesController, ServicioCatalogo y ServicioConversion.</w:t>
            </w:r>
          </w:p>
        </w:tc>
      </w:tr>
      <w:tr>
        <w:tc>
          <w:tcPr>
            <w:tcW w:w="280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RF-08, RNF-06</w:t>
            </w:r>
          </w:p>
        </w:tc>
        <w:tc>
          <w:tcPr>
            <w:tcW w:w="6560" w:type="dxa"/>
            <w:shd w:fill="FFFFFF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MiddlewareErrores, validación automática de solicitudes y ErrorRespuesta.</w:t>
            </w:r>
          </w:p>
        </w:tc>
      </w:tr>
      <w:tr>
        <w:tc>
          <w:tcPr>
            <w:tcW w:w="280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RNF-05</w:t>
            </w:r>
          </w:p>
        </w:tc>
        <w:tc>
          <w:tcPr>
            <w:tcW w:w="6560" w:type="dxa"/>
            <w:shd w:fill="F2F6F8"/>
          </w:tcPr>
          <w:p>
            <w:pPr>
              <w:spacing w:after="20"/>
            </w:pPr>
            <w:r>
              <w:rPr>
                <w:color w:val="243F52"/>
                <w:sz w:val="18"/>
                <w:szCs w:val="18"/>
              </w:rPr>
              <w:t xml:space="preserve">Controladores, modelos, vistas y servicios HTTP de cada cliente.</w:t>
            </w:r>
          </w:p>
        </w:tc>
      </w:tr>
    </w:tbl>
    <w:p>
      <w:pPr>
        <w:pStyle w:val="Heading1"/>
      </w:pPr>
      <w:r>
        <w:t xml:space="preserve">9. Referencias</w:t>
      </w:r>
    </w:p>
    <w:p>
      <w:pPr>
        <w:pStyle w:val="ListParagraph"/>
      </w:pPr>
      <w:r>
        <w:t xml:space="preserve">•  ERS del proyecto y contrato implementado en WSConversionUnidades_DotNet_REST_GR09.</w:t>
      </w:r>
    </w:p>
    <w:p>
      <w:pPr>
        <w:pStyle w:val="ListParagraph"/>
      </w:pPr>
      <w:r>
        <w:t xml:space="preserve">•  Microsoft Learn: ASP.NET Core Web API con controladores: https://learn.microsoft.com/aspnet/core/web-api</w:t>
      </w:r>
    </w:p>
    <w:p>
      <w:pPr>
        <w:pStyle w:val="ListParagraph"/>
      </w:pPr>
      <w:r>
        <w:t xml:space="preserve">•  Microsoft Learn: OpenAPI para ASP.NET Core en .NET 10: https://learn.microsoft.com/aspnet/core/fundamentals/openapi/overview?view=aspnetcore-10.0</w:t>
      </w:r>
    </w:p>
    <w:p>
      <w:pPr>
        <w:pStyle w:val="ListParagraph"/>
      </w:pPr>
      <w:r>
        <w:t xml:space="preserve">•  Microsoft Learn: soporte y versiones de .NET: https://learn.microsoft.com/dotnet/core/releases-and-support</w:t>
      </w:r>
    </w:p>
    <w:sectPr>
      <w:pgSz w:w="12240" w:h="15840"/>
      <w:pgMar w:top="1080" w:right="1080" w:bottom="1080" w:left="1080" w:header="540" w:footer="54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  <w:szCs w:val="22"/>
        <w:lang w:val="es-EC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jc w:val="center"/>
      <w:spacing w:before="1600" w:after="240"/>
    </w:pPr>
    <w:rPr>
      <w:b/>
      <w:color w:val="15324B"/>
      <w:sz w:val="42"/>
      <w:szCs w:val="42"/>
    </w:rPr>
  </w:style>
  <w:style w:type="paragraph" w:styleId="Subtitle">
    <w:name w:val="Subtitle"/>
    <w:basedOn w:val="Normal"/>
    <w:qFormat/>
    <w:pPr>
      <w:jc w:val="center"/>
      <w:spacing w:after="280"/>
    </w:pPr>
    <w:rPr>
      <w:color w:val="176B87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spacing w:before="300" w:after="120"/>
      <w:outlineLvl w:val="0"/>
    </w:pPr>
    <w:rPr>
      <w:b/>
      <w:color w:val="15324B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20" w:after="90"/>
      <w:outlineLvl w:val="1"/>
    </w:pPr>
    <w:rPr>
      <w:b/>
      <w:color w:val="176B87"/>
      <w:sz w:val="25"/>
      <w:szCs w:val="25"/>
    </w:rPr>
  </w:style>
  <w:style w:type="paragraph" w:styleId="ListParagraph">
    <w:name w:val="List Paragraph"/>
    <w:basedOn w:val="Normal"/>
    <w:pPr>
      <w:ind w:left="300"/>
      <w:spacing w:after="60"/>
    </w:pPr>
  </w:style>
  <w:style w:type="paragraph" w:styleId="Code">
    <w:name w:val="Code"/>
    <w:basedOn w:val="Normal"/>
    <w:pPr>
      <w:ind w:left="160"/>
      <w:spacing w:after="50"/>
      <w:shd w:fill="F1F5F8"/>
    </w:pPr>
    <w:rPr>
      <w:rFonts w:ascii="Consolas" w:hAnsi="Consolas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Universidad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ERS Conversor REST .NET GR09</dc:title>
  <dc:creator>Gabriel Omar Murillo Medina</dc:creator>
  <cp:lastModifiedBy>Gabriel Omar Murillo Medina</cp:lastModifiedBy>
  <dcterms:created xsi:type="dcterms:W3CDTF">2026-10-13T00:00:00Z</dcterms:created>
  <dcterms:modified xsi:type="dcterms:W3CDTF">2026-10-13T00:00:00Z</dcterms:modified>
</cp:coreProperties>
</file>