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1E4C0C64" w14:textId="77777777" w:rsidR="000B6BBE" w:rsidRDefault="000B6BBE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SOAP DOTNET SINBDD NRC36884 GR09</w:t>
                            </w:r>
                          </w:p>
                          <w:p w14:paraId="4D265F9C" w14:textId="3BB4B337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76D080F3" w14:textId="77777777" w:rsidR="000B6BBE" w:rsidRDefault="000B6BBE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668426C7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2BF3B6BC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1439DB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1E4C0C64" w14:textId="77777777" w:rsidR="000B6BBE" w:rsidRDefault="000B6BBE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SOAP DOTNET SINBDD NRC36884 GR09</w:t>
                      </w:r>
                    </w:p>
                    <w:p w14:paraId="4D265F9C" w14:textId="3BB4B337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76D080F3" w14:textId="77777777" w:rsidR="000B6BBE" w:rsidRDefault="000B6BBE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668426C7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2BF3B6BC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1439DB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2F58A463" w14:textId="77777777" w:rsidR="001439DB" w:rsidRDefault="001439DB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SOAP DOTNET SINBDD NRC36884 GR09</w:t>
      </w:r>
    </w:p>
    <w:p w14:paraId="293F0F79" w14:textId="734168A6" w:rsidR="001439DB" w:rsidRDefault="001439DB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4D28973E" w:rsidR="00190ECB" w:rsidRPr="00850009" w:rsidRDefault="0027461D" w:rsidP="00850009">
          <w:r w:rsidRPr="00850009">
            <w:t>ÍNDICE DE CONTENIDOS</w:t>
          </w:r>
        </w:p>
        <w:p w14:paraId="309D3B72" w14:textId="706E13B2" w:rsidR="001439DB" w:rsidRDefault="000B6BBE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1439DB" w:rsidRPr="0003437B">
            <w:rPr>
              <w:noProof/>
            </w:rPr>
            <w:t>No se encuentran elementos de tabla de ilustraciones.</w:t>
          </w:r>
          <w:r w:rsidR="001439DB">
            <w:rPr>
              <w:noProof/>
            </w:rPr>
            <w:tab/>
          </w:r>
          <w:r w:rsidR="001439DB">
            <w:rPr>
              <w:noProof/>
            </w:rPr>
            <w:fldChar w:fldCharType="begin"/>
          </w:r>
          <w:r w:rsidR="001439DB">
            <w:rPr>
              <w:noProof/>
            </w:rPr>
            <w:instrText xml:space="preserve"> PAGEREF _Toc244027726 \h </w:instrText>
          </w:r>
          <w:r w:rsidR="001439DB">
            <w:rPr>
              <w:noProof/>
            </w:rPr>
          </w:r>
          <w:r w:rsidR="001439DB">
            <w:rPr>
              <w:noProof/>
            </w:rPr>
            <w:fldChar w:fldCharType="separate"/>
          </w:r>
          <w:r w:rsidR="001439DB">
            <w:rPr>
              <w:noProof/>
            </w:rPr>
            <w:t>2</w:t>
          </w:r>
          <w:r w:rsidR="001439DB">
            <w:rPr>
              <w:noProof/>
            </w:rPr>
            <w:fldChar w:fldCharType="end"/>
          </w:r>
        </w:p>
        <w:p w14:paraId="1AFE5D48" w14:textId="7332D0DF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1. Propósito y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2B4D6278" w14:textId="6DD21078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2. Actores y arquitectura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52C7667A" w14:textId="0CEEBB30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3.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6B34673" w14:textId="165A2844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4.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66A29021" w14:textId="6EEADF38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5. Interfaz de servicio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0580207A" w14:textId="1EEEDDCC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6. Restricciones y datos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F6A9DAC" w14:textId="4E391E07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 Trazabilidad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82F8F8C" w14:textId="025B418C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 Definiciones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33A2D350" w14:textId="719CA0D5" w:rsidR="001439DB" w:rsidRDefault="001439D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D4F1716" w14:textId="08917BA8" w:rsidR="00190ECB" w:rsidRPr="00850009" w:rsidRDefault="000B6BBE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08B614F6" w14:textId="77777777" w:rsidR="001439DB" w:rsidRDefault="001439DB" w:rsidP="006141C5">
      <w:pPr>
        <w:pStyle w:val="TtuloTDC"/>
        <w:rPr>
          <w:rFonts w:ascii="Calibri" w:eastAsia="Carlito" w:hAnsi="Calibri" w:cs="Carlito"/>
          <w:sz w:val="22"/>
          <w:szCs w:val="22"/>
          <w:lang w:val="es-ES" w:eastAsia="en-US"/>
        </w:rPr>
      </w:pPr>
      <w:r>
        <w:rPr>
          <w:rFonts w:ascii="Calibri" w:eastAsia="Carlito" w:hAnsi="Calibri" w:cs="Carlito"/>
          <w:sz w:val="22"/>
          <w:szCs w:val="22"/>
          <w:lang w:val="es-ES" w:eastAsia="en-US"/>
        </w:rPr>
        <w:t>No se encuentran elementos de tabla de ilustraciones.</w:t>
      </w:r>
    </w:p>
    <w:p w14:paraId="14D2CFBC" w14:textId="76A73C02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0839A948" w14:textId="77777777" w:rsidR="001439DB" w:rsidRDefault="001439DB" w:rsidP="000B6BBE">
      <w:pPr>
        <w:pStyle w:val="Ttulo1"/>
        <w:rPr>
          <w:rFonts w:eastAsia="Carlito" w:cs="Carlito"/>
          <w:b w:val="0"/>
          <w:bCs w:val="0"/>
          <w:sz w:val="22"/>
          <w:szCs w:val="22"/>
        </w:rPr>
      </w:pPr>
      <w:bookmarkStart w:id="0" w:name="_bookmark0"/>
      <w:bookmarkStart w:id="1" w:name="_Toc244027726"/>
      <w:bookmarkEnd w:id="0"/>
      <w:r>
        <w:rPr>
          <w:rFonts w:eastAsia="Carlito" w:cs="Carlito"/>
          <w:b w:val="0"/>
          <w:bCs w:val="0"/>
          <w:sz w:val="22"/>
          <w:szCs w:val="22"/>
        </w:rPr>
        <w:t>No se encuentran elementos de tabla de ilustraciones.</w:t>
      </w:r>
      <w:bookmarkEnd w:id="1"/>
    </w:p>
    <w:p w14:paraId="0BC1F1BD" w14:textId="4C4EDB23" w:rsidR="000B6BBE" w:rsidRDefault="000B6BBE" w:rsidP="000B6BBE">
      <w:pPr>
        <w:pStyle w:val="Ttulo1"/>
      </w:pPr>
      <w:bookmarkStart w:id="2" w:name="_Toc244027727"/>
      <w:r>
        <w:t>1. Propósito y alcance</w:t>
      </w:r>
      <w:bookmarkEnd w:id="2"/>
    </w:p>
    <w:p w14:paraId="2A63A1AC" w14:textId="77777777" w:rsidR="000B6BBE" w:rsidRDefault="000B6BBE" w:rsidP="000B6BBE">
      <w:r>
        <w:t>El sistema Conversor de Unidades Monster centraliza conversiones de longitud, masa y temperatura en un servidor SOA con SOAP. Cuatro clientes —consola, escritorio, navegador y Android— solicitan autenticación y conversiones. El proyecto no implementa base de datos.</w:t>
      </w:r>
    </w:p>
    <w:p w14:paraId="4B3E1E4C" w14:textId="77777777" w:rsidR="000B6BBE" w:rsidRDefault="000B6BBE" w:rsidP="000B6BBE">
      <w:r>
        <w:t>Este documento define los requisitos del conversor y registra el stack implementado en el servidor y sus cuatro clientes. No incluye mantenimiento de vehículos, roles de taller, facturación ni divisas.</w:t>
      </w:r>
    </w:p>
    <w:p w14:paraId="291D2925" w14:textId="77777777" w:rsidR="000B6BBE" w:rsidRDefault="000B6BBE" w:rsidP="000B6BBE">
      <w:pPr>
        <w:pStyle w:val="Ttulo1"/>
      </w:pPr>
      <w:bookmarkStart w:id="3" w:name="_Toc244027728"/>
      <w:r>
        <w:t>2. Actores y arquitectura</w:t>
      </w:r>
      <w:bookmarkEnd w:id="3"/>
    </w:p>
    <w:p w14:paraId="5EC03A9E" w14:textId="77777777" w:rsidR="000B6BBE" w:rsidRDefault="000B6BBE" w:rsidP="000B6BBE">
      <w:r>
        <w:t>Actor principal: usuario final. Inicia sesión, consulta unidades, convierte magnitudes y cierra o pierde una sesión.</w:t>
      </w:r>
    </w:p>
    <w:p w14:paraId="0F95B8DC" w14:textId="77777777" w:rsidR="000B6BBE" w:rsidRDefault="000B6BBE" w:rsidP="000B6BBE">
      <w:r>
        <w:t>El servidor aplica SOA sobre MVC: los modelos y enumeraciones representan unidades, solicitudes y respuestas; los controladores SOAP publican operaciones y coordinan los servicios; los servicios contienen autenticación y conversiones. Cada cliente sigue MVC explícito con modelo, vista, controlador y adaptador SOAP. Los clientes forman la capa de presentación; el servidor no tiene interfaz gráfica. En el servidor, las responsabilidades se organizan en Modelos, Controladores, Servicios y Seguridad.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6BBE" w14:paraId="1CE41770" w14:textId="77777777" w:rsidTr="000B6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DE19441" w14:textId="77777777" w:rsidR="000B6BBE" w:rsidRDefault="000B6BBE" w:rsidP="000B6BBE">
            <w:r>
              <w:t>Componente</w:t>
            </w:r>
          </w:p>
        </w:tc>
        <w:tc>
          <w:tcPr>
            <w:tcW w:w="4703" w:type="dxa"/>
          </w:tcPr>
          <w:p w14:paraId="520174A1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 declarada</w:t>
            </w:r>
          </w:p>
        </w:tc>
      </w:tr>
      <w:tr w:rsidR="000B6BBE" w14:paraId="5E22A0A9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563DA15" w14:textId="77777777" w:rsidR="000B6BBE" w:rsidRDefault="000B6BBE" w:rsidP="000B6BBE">
            <w:r>
              <w:t>Servidor</w:t>
            </w:r>
          </w:p>
        </w:tc>
        <w:tc>
          <w:tcPr>
            <w:tcW w:w="4703" w:type="dxa"/>
          </w:tcPr>
          <w:p w14:paraId="12B252E4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C# 14, .NET 10 LTS, ASP.NET Core 10, CoreWCF 1.9.1 y Kestrel.</w:t>
            </w:r>
          </w:p>
        </w:tc>
      </w:tr>
      <w:tr w:rsidR="000B6BBE" w14:paraId="50398084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17A5732" w14:textId="77777777" w:rsidR="000B6BBE" w:rsidRDefault="000B6BBE" w:rsidP="000B6BBE">
            <w:r>
              <w:t>Consola</w:t>
            </w:r>
          </w:p>
        </w:tc>
        <w:tc>
          <w:tcPr>
            <w:tcW w:w="4703" w:type="dxa"/>
          </w:tcPr>
          <w:p w14:paraId="7D701744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.NET 10 y C# 14; cliente de consola MVC con consumo SOAP 1.1.</w:t>
            </w:r>
          </w:p>
        </w:tc>
      </w:tr>
      <w:tr w:rsidR="000B6BBE" w14:paraId="05C90235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90428AF" w14:textId="77777777" w:rsidR="000B6BBE" w:rsidRDefault="000B6BBE" w:rsidP="000B6BBE">
            <w:r>
              <w:t>Escritorio</w:t>
            </w:r>
          </w:p>
        </w:tc>
        <w:tc>
          <w:tcPr>
            <w:tcW w:w="4703" w:type="dxa"/>
          </w:tcPr>
          <w:p w14:paraId="3F99AE85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WPF sobre .NET 10 y C# 14; cliente de escritorio MVC con consumo SOAP 1.1.</w:t>
            </w:r>
          </w:p>
        </w:tc>
      </w:tr>
      <w:tr w:rsidR="000B6BBE" w14:paraId="06BA5D56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B664F39" w14:textId="77777777" w:rsidR="000B6BBE" w:rsidRDefault="000B6BBE" w:rsidP="000B6BBE">
            <w:r>
              <w:t>Web</w:t>
            </w:r>
          </w:p>
        </w:tc>
        <w:tc>
          <w:tcPr>
            <w:tcW w:w="4703" w:type="dxa"/>
          </w:tcPr>
          <w:p w14:paraId="6EF9F860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ASP.NET Core MVC sobre .NET 10 y C# 14; interfaz web con sesión temporal.</w:t>
            </w:r>
          </w:p>
        </w:tc>
      </w:tr>
      <w:tr w:rsidR="000B6BBE" w14:paraId="48A9B646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69B536E" w14:textId="77777777" w:rsidR="000B6BBE" w:rsidRDefault="000B6BBE" w:rsidP="000B6BBE">
            <w:r>
              <w:t>Móvil</w:t>
            </w:r>
          </w:p>
        </w:tc>
        <w:tc>
          <w:tcPr>
            <w:tcW w:w="4703" w:type="dxa"/>
          </w:tcPr>
          <w:p w14:paraId="7FDC7CB9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.NET MAUI 10 con C# 14 para Android; cliente móvil MVC con consumo SOAP 1.1.</w:t>
            </w:r>
          </w:p>
        </w:tc>
      </w:tr>
    </w:tbl>
    <w:p w14:paraId="31C27904" w14:textId="77777777" w:rsidR="000B6BBE" w:rsidRDefault="000B6BBE" w:rsidP="000B6BBE"/>
    <w:p w14:paraId="0CA96347" w14:textId="77777777" w:rsidR="000B6BBE" w:rsidRDefault="000B6BBE" w:rsidP="000B6BBE">
      <w:pPr>
        <w:pStyle w:val="Ttulo1"/>
      </w:pPr>
      <w:bookmarkStart w:id="4" w:name="_Toc244027729"/>
      <w:r>
        <w:t>3. Requisitos funcionales</w:t>
      </w:r>
      <w:bookmarkEnd w:id="4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0B6BBE" w14:paraId="1A604335" w14:textId="77777777" w:rsidTr="000B6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9523F95" w14:textId="77777777" w:rsidR="000B6BBE" w:rsidRDefault="000B6BBE" w:rsidP="000B6BBE">
            <w:r>
              <w:t>ID</w:t>
            </w:r>
          </w:p>
        </w:tc>
        <w:tc>
          <w:tcPr>
            <w:tcW w:w="3135" w:type="dxa"/>
          </w:tcPr>
          <w:p w14:paraId="435E1816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3135" w:type="dxa"/>
          </w:tcPr>
          <w:p w14:paraId="0BCEDF7C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 de aceptación</w:t>
            </w:r>
          </w:p>
        </w:tc>
      </w:tr>
      <w:tr w:rsidR="000B6BBE" w14:paraId="4B5D3EE1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9FF13B4" w14:textId="77777777" w:rsidR="000B6BBE" w:rsidRDefault="000B6BBE" w:rsidP="000B6BBE">
            <w:r>
              <w:t>RF-01</w:t>
            </w:r>
          </w:p>
        </w:tc>
        <w:tc>
          <w:tcPr>
            <w:tcW w:w="3135" w:type="dxa"/>
          </w:tcPr>
          <w:p w14:paraId="49A3DD39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</w:t>
            </w:r>
          </w:p>
        </w:tc>
        <w:tc>
          <w:tcPr>
            <w:tcW w:w="3135" w:type="dxa"/>
          </w:tcPr>
          <w:p w14:paraId="2E6A9EDD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las credenciales de un usuario y emitir token temporal.</w:t>
            </w:r>
          </w:p>
        </w:tc>
      </w:tr>
      <w:tr w:rsidR="000B6BBE" w14:paraId="406E35F4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342193A" w14:textId="77777777" w:rsidR="000B6BBE" w:rsidRDefault="000B6BBE" w:rsidP="000B6BBE">
            <w:r>
              <w:t>RF-02</w:t>
            </w:r>
          </w:p>
        </w:tc>
        <w:tc>
          <w:tcPr>
            <w:tcW w:w="3135" w:type="dxa"/>
          </w:tcPr>
          <w:p w14:paraId="29CE9798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Catálogo</w:t>
            </w:r>
          </w:p>
        </w:tc>
        <w:tc>
          <w:tcPr>
            <w:tcW w:w="3135" w:type="dxa"/>
          </w:tcPr>
          <w:p w14:paraId="759A6DAB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Mostrar en los cuatro clientes las magnitudes y unidades del catálogo definido en este </w:t>
            </w:r>
            <w:r>
              <w:lastRenderedPageBreak/>
              <w:t>proyecto.</w:t>
            </w:r>
          </w:p>
        </w:tc>
      </w:tr>
      <w:tr w:rsidR="000B6BBE" w14:paraId="0B944544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F189CCB" w14:textId="77777777" w:rsidR="000B6BBE" w:rsidRDefault="000B6BBE" w:rsidP="000B6BBE">
            <w:r>
              <w:lastRenderedPageBreak/>
              <w:t>RF-03</w:t>
            </w:r>
          </w:p>
        </w:tc>
        <w:tc>
          <w:tcPr>
            <w:tcW w:w="3135" w:type="dxa"/>
          </w:tcPr>
          <w:p w14:paraId="4E43F8B4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Longitud</w:t>
            </w:r>
          </w:p>
        </w:tc>
        <w:tc>
          <w:tcPr>
            <w:tcW w:w="3135" w:type="dxa"/>
          </w:tcPr>
          <w:p w14:paraId="20A8ECE1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milímetros, centímetros, metros, kilómetros, pies, yardas y millas.</w:t>
            </w:r>
          </w:p>
        </w:tc>
      </w:tr>
      <w:tr w:rsidR="000B6BBE" w14:paraId="3C60CE91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231E6CB" w14:textId="77777777" w:rsidR="000B6BBE" w:rsidRDefault="000B6BBE" w:rsidP="000B6BBE">
            <w:r>
              <w:t>RF-04</w:t>
            </w:r>
          </w:p>
        </w:tc>
        <w:tc>
          <w:tcPr>
            <w:tcW w:w="3135" w:type="dxa"/>
          </w:tcPr>
          <w:p w14:paraId="5F6FD036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Masa</w:t>
            </w:r>
          </w:p>
        </w:tc>
        <w:tc>
          <w:tcPr>
            <w:tcW w:w="3135" w:type="dxa"/>
          </w:tcPr>
          <w:p w14:paraId="5F9398FB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Convertir miligramos, gramos, kilogramos, toneladas, onzas, libras y quintales.</w:t>
            </w:r>
          </w:p>
        </w:tc>
      </w:tr>
      <w:tr w:rsidR="000B6BBE" w14:paraId="2BF0CAF2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8E17467" w14:textId="77777777" w:rsidR="000B6BBE" w:rsidRDefault="000B6BBE" w:rsidP="000B6BBE">
            <w:r>
              <w:t>RF-05</w:t>
            </w:r>
          </w:p>
        </w:tc>
        <w:tc>
          <w:tcPr>
            <w:tcW w:w="3135" w:type="dxa"/>
          </w:tcPr>
          <w:p w14:paraId="2C3B8A8E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Temperatura</w:t>
            </w:r>
          </w:p>
        </w:tc>
        <w:tc>
          <w:tcPr>
            <w:tcW w:w="3135" w:type="dxa"/>
          </w:tcPr>
          <w:p w14:paraId="033F3C16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Celsius, Fahrenheit, Kelvin, Rankine, Newton y Réaumur.</w:t>
            </w:r>
          </w:p>
        </w:tc>
      </w:tr>
      <w:tr w:rsidR="000B6BBE" w14:paraId="5CD2CC84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FA66D2C" w14:textId="77777777" w:rsidR="000B6BBE" w:rsidRDefault="000B6BBE" w:rsidP="000B6BBE">
            <w:r>
              <w:t>RF-06</w:t>
            </w:r>
          </w:p>
        </w:tc>
        <w:tc>
          <w:tcPr>
            <w:tcW w:w="3135" w:type="dxa"/>
          </w:tcPr>
          <w:p w14:paraId="3EB717DC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Autorización</w:t>
            </w:r>
          </w:p>
        </w:tc>
        <w:tc>
          <w:tcPr>
            <w:tcW w:w="3135" w:type="dxa"/>
          </w:tcPr>
          <w:p w14:paraId="111B3BD3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Rechazar conversiones sin token o con token inválido/expirado.</w:t>
            </w:r>
          </w:p>
        </w:tc>
      </w:tr>
      <w:tr w:rsidR="000B6BBE" w14:paraId="703821B9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DFCCD01" w14:textId="77777777" w:rsidR="000B6BBE" w:rsidRDefault="000B6BBE" w:rsidP="000B6BBE">
            <w:r>
              <w:t>RF-07</w:t>
            </w:r>
          </w:p>
        </w:tc>
        <w:tc>
          <w:tcPr>
            <w:tcW w:w="3135" w:type="dxa"/>
          </w:tcPr>
          <w:p w14:paraId="06516C2B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Errores</w:t>
            </w:r>
          </w:p>
        </w:tc>
        <w:tc>
          <w:tcPr>
            <w:tcW w:w="3135" w:type="dxa"/>
          </w:tcPr>
          <w:p w14:paraId="7CAF6810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Rechaza valores no finitos, masa negativa, unidades no soportadas, credenciales incorrectas y contraseñas nuevas vacías mediante fallos SOAP/XML.</w:t>
            </w:r>
          </w:p>
        </w:tc>
      </w:tr>
    </w:tbl>
    <w:p w14:paraId="3472B669" w14:textId="77777777" w:rsidR="000B6BBE" w:rsidRDefault="000B6BBE" w:rsidP="000B6BBE"/>
    <w:p w14:paraId="2FCCABE5" w14:textId="77777777" w:rsidR="000B6BBE" w:rsidRDefault="000B6BBE" w:rsidP="000B6BBE">
      <w:pPr>
        <w:pStyle w:val="Ttulo1"/>
      </w:pPr>
      <w:bookmarkStart w:id="5" w:name="_Toc244027730"/>
      <w:r>
        <w:t>4. Requisitos no funcionales</w:t>
      </w:r>
      <w:bookmarkEnd w:id="5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6BBE" w14:paraId="764BC99F" w14:textId="77777777" w:rsidTr="000B6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9EB2A2F" w14:textId="77777777" w:rsidR="000B6BBE" w:rsidRDefault="000B6BBE" w:rsidP="000B6BBE">
            <w:r>
              <w:t>ID</w:t>
            </w:r>
          </w:p>
        </w:tc>
        <w:tc>
          <w:tcPr>
            <w:tcW w:w="4703" w:type="dxa"/>
          </w:tcPr>
          <w:p w14:paraId="2DBE3D8B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0B6BBE" w14:paraId="0E3B2B0C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482C794" w14:textId="77777777" w:rsidR="000B6BBE" w:rsidRDefault="000B6BBE" w:rsidP="000B6BBE">
            <w:r>
              <w:t>RNF-01</w:t>
            </w:r>
          </w:p>
        </w:tc>
        <w:tc>
          <w:tcPr>
            <w:tcW w:w="4703" w:type="dxa"/>
          </w:tcPr>
          <w:p w14:paraId="382F6B7B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C# 14, .NET 10 LTS, ASP.NET Core 10, CoreWCF 1.9.1 y Kestrel.</w:t>
            </w:r>
          </w:p>
        </w:tc>
      </w:tr>
      <w:tr w:rsidR="000B6BBE" w14:paraId="4AAA6ABF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EF2B47" w14:textId="77777777" w:rsidR="000B6BBE" w:rsidRDefault="000B6BBE" w:rsidP="000B6BBE">
            <w:r>
              <w:t>RNF-02</w:t>
            </w:r>
          </w:p>
        </w:tc>
        <w:tc>
          <w:tcPr>
            <w:tcW w:w="4703" w:type="dxa"/>
          </w:tcPr>
          <w:p w14:paraId="085BF3F3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SOAP/XML sobre HTTP con WSDL. Las operaciones protegidas reciben el token en un encabezado SOAP llamado token.</w:t>
            </w:r>
          </w:p>
        </w:tc>
      </w:tr>
      <w:tr w:rsidR="000B6BBE" w14:paraId="09240B98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6CE0771" w14:textId="77777777" w:rsidR="000B6BBE" w:rsidRDefault="000B6BBE" w:rsidP="000B6BBE">
            <w:r>
              <w:t>RNF-03</w:t>
            </w:r>
          </w:p>
        </w:tc>
        <w:tc>
          <w:tcPr>
            <w:tcW w:w="4703" w:type="dxa"/>
          </w:tcPr>
          <w:p w14:paraId="29003CAA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se utilizará base de datos; catálogo y estado de autenticación se mantienen en memoria.</w:t>
            </w:r>
          </w:p>
        </w:tc>
      </w:tr>
      <w:tr w:rsidR="000B6BBE" w14:paraId="0314BB74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6DD84C9" w14:textId="77777777" w:rsidR="000B6BBE" w:rsidRDefault="000B6BBE" w:rsidP="000B6BBE">
            <w:r>
              <w:t>RNF-04</w:t>
            </w:r>
          </w:p>
        </w:tc>
        <w:tc>
          <w:tcPr>
            <w:tcW w:w="4703" w:type="dxa"/>
          </w:tcPr>
          <w:p w14:paraId="3B3BE032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token vence 15 minutos después de su emisión.</w:t>
            </w:r>
          </w:p>
        </w:tc>
      </w:tr>
      <w:tr w:rsidR="000B6BBE" w14:paraId="61DF1BF3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D680A16" w14:textId="77777777" w:rsidR="000B6BBE" w:rsidRDefault="000B6BBE" w:rsidP="000B6BBE">
            <w:r>
              <w:t>RNF-05</w:t>
            </w:r>
          </w:p>
        </w:tc>
        <w:tc>
          <w:tcPr>
            <w:tcW w:w="4703" w:type="dxa"/>
          </w:tcPr>
          <w:p w14:paraId="2B57C9A2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Los cuatro clientes aplicarán MVC y separarán la interfaz de usuario del consumo del servicio.</w:t>
            </w:r>
          </w:p>
        </w:tc>
      </w:tr>
      <w:tr w:rsidR="000B6BBE" w14:paraId="451D85B3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74019C9" w14:textId="77777777" w:rsidR="000B6BBE" w:rsidRDefault="000B6BBE" w:rsidP="000B6BBE">
            <w:r>
              <w:t>RNF-06</w:t>
            </w:r>
          </w:p>
        </w:tc>
        <w:tc>
          <w:tcPr>
            <w:tcW w:w="4703" w:type="dxa"/>
          </w:tcPr>
          <w:p w14:paraId="012A0C10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Los fallos SOAP/XML describen el motivo sin exponer secretos.</w:t>
            </w:r>
          </w:p>
        </w:tc>
      </w:tr>
    </w:tbl>
    <w:p w14:paraId="189EED3C" w14:textId="77777777" w:rsidR="000B6BBE" w:rsidRDefault="000B6BBE" w:rsidP="000B6BBE"/>
    <w:p w14:paraId="23FFE77F" w14:textId="77777777" w:rsidR="000B6BBE" w:rsidRDefault="000B6BBE" w:rsidP="000B6BBE">
      <w:pPr>
        <w:pStyle w:val="Ttulo1"/>
      </w:pPr>
      <w:bookmarkStart w:id="6" w:name="_Toc244027731"/>
      <w:r>
        <w:t>5. Interfaz de servicio</w:t>
      </w:r>
      <w:bookmarkEnd w:id="6"/>
    </w:p>
    <w:p w14:paraId="2B60BEAB" w14:textId="77777777" w:rsidR="000B6BBE" w:rsidRDefault="000B6BBE" w:rsidP="000B6BBE">
      <w:r>
        <w:t>Autenticación por token temporal y errores representados mediante fallos SOAP/XML. El servidor CoreWCF publica las operaciones y tipos de datos en WSDL.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875"/>
        <w:gridCol w:w="2800"/>
        <w:gridCol w:w="3745"/>
      </w:tblGrid>
      <w:tr w:rsidR="000B6BBE" w14:paraId="17138D53" w14:textId="77777777" w:rsidTr="000B6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97F5D32" w14:textId="77777777" w:rsidR="000B6BBE" w:rsidRDefault="000B6BBE" w:rsidP="000B6BBE">
            <w:r>
              <w:t>Operación lógica</w:t>
            </w:r>
          </w:p>
        </w:tc>
        <w:tc>
          <w:tcPr>
            <w:tcW w:w="3135" w:type="dxa"/>
          </w:tcPr>
          <w:p w14:paraId="66270E0B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Acceso</w:t>
            </w:r>
          </w:p>
        </w:tc>
        <w:tc>
          <w:tcPr>
            <w:tcW w:w="3135" w:type="dxa"/>
          </w:tcPr>
          <w:p w14:paraId="0352B5C2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Datos principales</w:t>
            </w:r>
          </w:p>
        </w:tc>
      </w:tr>
      <w:tr w:rsidR="000B6BBE" w14:paraId="7CEA26B2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4216552" w14:textId="77777777" w:rsidR="000B6BBE" w:rsidRDefault="000B6BBE" w:rsidP="000B6BBE">
            <w:r>
              <w:lastRenderedPageBreak/>
              <w:t>Iniciar sesión</w:t>
            </w:r>
          </w:p>
        </w:tc>
        <w:tc>
          <w:tcPr>
            <w:tcW w:w="3135" w:type="dxa"/>
          </w:tcPr>
          <w:p w14:paraId="7038E629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Público</w:t>
            </w:r>
          </w:p>
        </w:tc>
        <w:tc>
          <w:tcPr>
            <w:tcW w:w="3135" w:type="dxa"/>
          </w:tcPr>
          <w:p w14:paraId="51E297E6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login(usuario, contrasenia); devuelve un token temporal.</w:t>
            </w:r>
          </w:p>
        </w:tc>
      </w:tr>
      <w:tr w:rsidR="000B6BBE" w14:paraId="6F4C13E4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DDB7A31" w14:textId="77777777" w:rsidR="000B6BBE" w:rsidRDefault="000B6BBE" w:rsidP="000B6BBE">
            <w:r>
              <w:t>Cambiar contraseña</w:t>
            </w:r>
          </w:p>
        </w:tc>
        <w:tc>
          <w:tcPr>
            <w:tcW w:w="3135" w:type="dxa"/>
          </w:tcPr>
          <w:p w14:paraId="27EB89A3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</w:t>
            </w:r>
          </w:p>
        </w:tc>
        <w:tc>
          <w:tcPr>
            <w:tcW w:w="3135" w:type="dxa"/>
          </w:tcPr>
          <w:p w14:paraId="120BF1E8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cambiarContrasenia(contraseniaActual, contraseniaNueva); devuelve confirmación.</w:t>
            </w:r>
          </w:p>
        </w:tc>
      </w:tr>
      <w:tr w:rsidR="000B6BBE" w14:paraId="77782F9D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4A3FE06" w14:textId="77777777" w:rsidR="000B6BBE" w:rsidRDefault="000B6BBE" w:rsidP="000B6BBE">
            <w:r>
              <w:t>Convertir longitud</w:t>
            </w:r>
          </w:p>
        </w:tc>
        <w:tc>
          <w:tcPr>
            <w:tcW w:w="3135" w:type="dxa"/>
          </w:tcPr>
          <w:p w14:paraId="3255111C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</w:t>
            </w:r>
          </w:p>
        </w:tc>
        <w:tc>
          <w:tcPr>
            <w:tcW w:w="3135" w:type="dxa"/>
          </w:tcPr>
          <w:p w14:paraId="047E2C5A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convertirLongitud(valor, unidadInicial, unidadFinal); devuelve un número.</w:t>
            </w:r>
          </w:p>
        </w:tc>
      </w:tr>
      <w:tr w:rsidR="000B6BBE" w14:paraId="6F9CC5BE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8C79FB5" w14:textId="77777777" w:rsidR="000B6BBE" w:rsidRDefault="000B6BBE" w:rsidP="000B6BBE">
            <w:r>
              <w:t>Convertir masa</w:t>
            </w:r>
          </w:p>
        </w:tc>
        <w:tc>
          <w:tcPr>
            <w:tcW w:w="3135" w:type="dxa"/>
          </w:tcPr>
          <w:p w14:paraId="7D46BE63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</w:t>
            </w:r>
          </w:p>
        </w:tc>
        <w:tc>
          <w:tcPr>
            <w:tcW w:w="3135" w:type="dxa"/>
          </w:tcPr>
          <w:p w14:paraId="1E02E1CA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convertirMasa(valor, unidadInicial, unidadFinal); devuelve un número.</w:t>
            </w:r>
          </w:p>
        </w:tc>
      </w:tr>
      <w:tr w:rsidR="000B6BBE" w14:paraId="6FB25942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C5AEF2D" w14:textId="77777777" w:rsidR="000B6BBE" w:rsidRDefault="000B6BBE" w:rsidP="000B6BBE">
            <w:r>
              <w:t>Convertir temperatura</w:t>
            </w:r>
          </w:p>
        </w:tc>
        <w:tc>
          <w:tcPr>
            <w:tcW w:w="3135" w:type="dxa"/>
          </w:tcPr>
          <w:p w14:paraId="77967393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</w:t>
            </w:r>
          </w:p>
        </w:tc>
        <w:tc>
          <w:tcPr>
            <w:tcW w:w="3135" w:type="dxa"/>
          </w:tcPr>
          <w:p w14:paraId="61DCD3B3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convertirTemperatura(valor, unidadInicial, unidadFinal); devuelve un número.</w:t>
            </w:r>
          </w:p>
        </w:tc>
      </w:tr>
    </w:tbl>
    <w:p w14:paraId="28173403" w14:textId="77777777" w:rsidR="000B6BBE" w:rsidRDefault="000B6BBE" w:rsidP="000B6BBE"/>
    <w:p w14:paraId="1D331475" w14:textId="77777777" w:rsidR="000B6BBE" w:rsidRDefault="000B6BBE" w:rsidP="000B6BBE">
      <w:pPr>
        <w:pStyle w:val="Ttulo1"/>
      </w:pPr>
      <w:bookmarkStart w:id="7" w:name="_Toc244027732"/>
      <w:r>
        <w:t>6. Restricciones y datos</w:t>
      </w:r>
      <w:bookmarkEnd w:id="7"/>
    </w:p>
    <w:p w14:paraId="4BA49D47" w14:textId="77777777" w:rsidR="000B6BBE" w:rsidRDefault="000B6BBE" w:rsidP="000B6BBE">
      <w:r>
        <w:t>El catálogo soporta únicamente las tres magnitudes y unidades listadas en RF-03 a RF-05. No se incluyen registro de usuarios, perfiles de taller, clientes de vehículos, facturas, citas ni consulta de divisas.</w:t>
      </w:r>
    </w:p>
    <w:p w14:paraId="05327F4B" w14:textId="77777777" w:rsidR="000B6BBE" w:rsidRDefault="000B6BBE" w:rsidP="000B6BBE">
      <w:r>
        <w:t>Contrato SOAP: login, cambiarContrasenia, convertirLongitud, convertirMasa y convertirTemperatura, bajo http://ws.controladores.monster.edu.ec/. Las operaciones protegidas reciben el encabezado SOAP token. La vigencia es de 15 minutos. Las credenciales iniciales de demostración son Monster / Monster9. No hay operación SOAP de catálogo; cada cliente presenta sus unidades. El endpoint local es http://127.0.0.1:19081/04.SERVIDOR/WSConversionUnidades_DotNet_SOAP_GR09.</w:t>
      </w:r>
    </w:p>
    <w:p w14:paraId="7D4A1332" w14:textId="77777777" w:rsidR="000B6BBE" w:rsidRDefault="000B6BBE" w:rsidP="000B6BBE">
      <w:pPr>
        <w:pStyle w:val="Ttulo1"/>
      </w:pPr>
      <w:bookmarkStart w:id="8" w:name="_Toc244027733"/>
      <w:r>
        <w:t>7. Trazabilidad</w:t>
      </w:r>
      <w:bookmarkEnd w:id="8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6BBE" w14:paraId="7E6FD4A9" w14:textId="77777777" w:rsidTr="000B6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DCF52C9" w14:textId="77777777" w:rsidR="000B6BBE" w:rsidRDefault="000B6BBE" w:rsidP="000B6BBE">
            <w:r>
              <w:t>Requisitos</w:t>
            </w:r>
          </w:p>
        </w:tc>
        <w:tc>
          <w:tcPr>
            <w:tcW w:w="4703" w:type="dxa"/>
          </w:tcPr>
          <w:p w14:paraId="35A7B8F8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Componentes previstos</w:t>
            </w:r>
          </w:p>
        </w:tc>
      </w:tr>
      <w:tr w:rsidR="000B6BBE" w14:paraId="6C44BB78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33E5E0B" w14:textId="77777777" w:rsidR="000B6BBE" w:rsidRDefault="000B6BBE" w:rsidP="000B6BBE">
            <w:r>
              <w:t>RF-01, RF-06, RNF-04</w:t>
            </w:r>
          </w:p>
        </w:tc>
        <w:tc>
          <w:tcPr>
            <w:tcW w:w="4703" w:type="dxa"/>
          </w:tcPr>
          <w:p w14:paraId="2AAA8F35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 de autenticación y seguridad; tokens en memoria con vigencia de 15 minutos.</w:t>
            </w:r>
          </w:p>
        </w:tc>
      </w:tr>
      <w:tr w:rsidR="000B6BBE" w14:paraId="02639AD9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3D8D4EB" w14:textId="77777777" w:rsidR="000B6BBE" w:rsidRDefault="000B6BBE" w:rsidP="000B6BBE">
            <w:r>
              <w:t>RF-02 a RF-05</w:t>
            </w:r>
          </w:p>
        </w:tc>
        <w:tc>
          <w:tcPr>
            <w:tcW w:w="4703" w:type="dxa"/>
          </w:tcPr>
          <w:p w14:paraId="506D0B9E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Catálogo visible en cada cliente; modelos de unidades, controladores SOAP y servicios de conversión.</w:t>
            </w:r>
          </w:p>
        </w:tc>
      </w:tr>
      <w:tr w:rsidR="000B6BBE" w14:paraId="2E3FC18F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2382044" w14:textId="77777777" w:rsidR="000B6BBE" w:rsidRDefault="000B6BBE" w:rsidP="000B6BBE">
            <w:r>
              <w:t>RF-07</w:t>
            </w:r>
          </w:p>
        </w:tc>
        <w:tc>
          <w:tcPr>
            <w:tcW w:w="4703" w:type="dxa"/>
          </w:tcPr>
          <w:p w14:paraId="7E3ABBB3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Validación de entradas y errores SOAP/XML sin exponer secretos.</w:t>
            </w:r>
          </w:p>
        </w:tc>
      </w:tr>
      <w:tr w:rsidR="000B6BBE" w14:paraId="26A920B6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EF1446B" w14:textId="77777777" w:rsidR="000B6BBE" w:rsidRDefault="000B6BBE" w:rsidP="000B6BBE">
            <w:r>
              <w:t>RNF-05</w:t>
            </w:r>
          </w:p>
        </w:tc>
        <w:tc>
          <w:tcPr>
            <w:tcW w:w="4703" w:type="dxa"/>
          </w:tcPr>
          <w:p w14:paraId="68DAA2EC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Modelo, vista, controlador y servicio/adaptador en cada cliente.</w:t>
            </w:r>
          </w:p>
        </w:tc>
      </w:tr>
    </w:tbl>
    <w:p w14:paraId="4158ABF3" w14:textId="77777777" w:rsidR="000B6BBE" w:rsidRDefault="000B6BBE" w:rsidP="000B6BBE"/>
    <w:p w14:paraId="01C96E36" w14:textId="77777777" w:rsidR="000B6BBE" w:rsidRDefault="000B6BBE" w:rsidP="000B6BBE">
      <w:pPr>
        <w:pStyle w:val="Ttulo1"/>
      </w:pPr>
      <w:bookmarkStart w:id="9" w:name="_Toc244027734"/>
      <w:r>
        <w:t>8. Definiciones y abreviaturas</w:t>
      </w:r>
      <w:bookmarkEnd w:id="9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0B6BBE" w14:paraId="36641033" w14:textId="77777777" w:rsidTr="000B6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95B46F" w14:textId="77777777" w:rsidR="000B6BBE" w:rsidRDefault="000B6BBE" w:rsidP="000B6BBE">
            <w:r>
              <w:t>Término</w:t>
            </w:r>
          </w:p>
        </w:tc>
        <w:tc>
          <w:tcPr>
            <w:tcW w:w="4703" w:type="dxa"/>
          </w:tcPr>
          <w:p w14:paraId="3537BD40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Definición</w:t>
            </w:r>
          </w:p>
        </w:tc>
      </w:tr>
      <w:tr w:rsidR="000B6BBE" w14:paraId="7C1F5B48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7CE4719" w14:textId="77777777" w:rsidR="000B6BBE" w:rsidRDefault="000B6BBE" w:rsidP="000B6BBE">
            <w:r>
              <w:t>SOA</w:t>
            </w:r>
          </w:p>
        </w:tc>
        <w:tc>
          <w:tcPr>
            <w:tcW w:w="4703" w:type="dxa"/>
          </w:tcPr>
          <w:p w14:paraId="7F8A6A5D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Arquitectura orientada a servicios.</w:t>
            </w:r>
          </w:p>
        </w:tc>
      </w:tr>
      <w:tr w:rsidR="000B6BBE" w14:paraId="3C0F0FF9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9FDCFC4" w14:textId="77777777" w:rsidR="000B6BBE" w:rsidRDefault="000B6BBE" w:rsidP="000B6BBE">
            <w:r>
              <w:t>SOAP</w:t>
            </w:r>
          </w:p>
        </w:tc>
        <w:tc>
          <w:tcPr>
            <w:tcW w:w="4703" w:type="dxa"/>
          </w:tcPr>
          <w:p w14:paraId="791880B8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Protocolo de mensajería XML para servicios web.</w:t>
            </w:r>
          </w:p>
        </w:tc>
      </w:tr>
      <w:tr w:rsidR="000B6BBE" w14:paraId="6191F64D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E4AA7C" w14:textId="77777777" w:rsidR="000B6BBE" w:rsidRDefault="000B6BBE" w:rsidP="000B6BBE">
            <w:r>
              <w:lastRenderedPageBreak/>
              <w:t>WSDL</w:t>
            </w:r>
          </w:p>
        </w:tc>
        <w:tc>
          <w:tcPr>
            <w:tcW w:w="4703" w:type="dxa"/>
          </w:tcPr>
          <w:p w14:paraId="676D2785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Contrato XML de operaciones y tipos del servicio SOAP.</w:t>
            </w:r>
          </w:p>
        </w:tc>
      </w:tr>
      <w:tr w:rsidR="000B6BBE" w14:paraId="187B63E6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7A2D1C6" w14:textId="77777777" w:rsidR="000B6BBE" w:rsidRDefault="000B6BBE" w:rsidP="000B6BBE">
            <w:r>
              <w:t>MVC</w:t>
            </w:r>
          </w:p>
        </w:tc>
        <w:tc>
          <w:tcPr>
            <w:tcW w:w="4703" w:type="dxa"/>
          </w:tcPr>
          <w:p w14:paraId="7C565EAF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Modelo-Vista-Controlador, requerido en cada cliente.</w:t>
            </w:r>
          </w:p>
        </w:tc>
      </w:tr>
      <w:tr w:rsidR="000B6BBE" w14:paraId="0A60A16D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0B44000" w14:textId="77777777" w:rsidR="000B6BBE" w:rsidRDefault="000B6BBE" w:rsidP="000B6BBE">
            <w:r>
              <w:t>Token</w:t>
            </w:r>
          </w:p>
        </w:tc>
        <w:tc>
          <w:tcPr>
            <w:tcW w:w="4703" w:type="dxa"/>
          </w:tcPr>
          <w:p w14:paraId="2E082AD9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Credencial temporal enviada en el encabezado SOAP token; vence en 15 minutos.</w:t>
            </w:r>
          </w:p>
        </w:tc>
      </w:tr>
      <w:tr w:rsidR="000B6BBE" w14:paraId="2655E0FD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81D76DD" w14:textId="77777777" w:rsidR="000B6BBE" w:rsidRDefault="000B6BBE" w:rsidP="000B6BBE">
            <w:r>
              <w:t>BDD</w:t>
            </w:r>
          </w:p>
        </w:tc>
        <w:tc>
          <w:tcPr>
            <w:tcW w:w="4703" w:type="dxa"/>
          </w:tcPr>
          <w:p w14:paraId="5D65D2D3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Base de datos; excluida del alcance.</w:t>
            </w:r>
          </w:p>
        </w:tc>
      </w:tr>
    </w:tbl>
    <w:p w14:paraId="47A518CF" w14:textId="77777777" w:rsidR="000B6BBE" w:rsidRDefault="000B6BBE" w:rsidP="000B6BBE"/>
    <w:p w14:paraId="23B5A14E" w14:textId="77777777" w:rsidR="000B6BBE" w:rsidRDefault="000B6BBE" w:rsidP="000B6BBE">
      <w:pPr>
        <w:pStyle w:val="Ttulo1"/>
      </w:pPr>
      <w:bookmarkStart w:id="10" w:name="_Toc244027735"/>
      <w:r>
        <w:t>9. Referencias</w:t>
      </w:r>
      <w:bookmarkEnd w:id="10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478"/>
        <w:gridCol w:w="6942"/>
      </w:tblGrid>
      <w:tr w:rsidR="000B6BBE" w14:paraId="1FCDEA94" w14:textId="77777777" w:rsidTr="000B6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F9FA97" w14:textId="77777777" w:rsidR="000B6BBE" w:rsidRDefault="000B6BBE" w:rsidP="000B6BBE">
            <w:r>
              <w:t>Fuente</w:t>
            </w:r>
          </w:p>
        </w:tc>
        <w:tc>
          <w:tcPr>
            <w:tcW w:w="4703" w:type="dxa"/>
          </w:tcPr>
          <w:p w14:paraId="560F30BF" w14:textId="77777777" w:rsidR="000B6BBE" w:rsidRDefault="000B6BBE" w:rsidP="000B6B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 en este ERS</w:t>
            </w:r>
          </w:p>
        </w:tc>
      </w:tr>
      <w:tr w:rsidR="000B6BBE" w14:paraId="0193BD63" w14:textId="77777777" w:rsidTr="000B6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9ACE56A" w14:textId="77777777" w:rsidR="000B6BBE" w:rsidRDefault="000B6BBE" w:rsidP="000B6BBE">
            <w:r>
              <w:t>Fuente tecnológica</w:t>
            </w:r>
          </w:p>
        </w:tc>
        <w:tc>
          <w:tcPr>
            <w:tcW w:w="4703" w:type="dxa"/>
          </w:tcPr>
          <w:p w14:paraId="38E9EF72" w14:textId="77777777" w:rsidR="000B6BBE" w:rsidRDefault="000B6BBE" w:rsidP="000B6B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Learn: .NET 10 LTS, https://learn.microsoft.com/dotnet/core/releases-and-support; CoreWCF 1.9.1, https://github.com/CoreWCF/CoreWCF/releases/tag/v1.9.1; ASP.NET Core MVC 10, https://learn.microsoft.com/aspnet/core/mvc/overview?view=aspnetcore-10.0; WPF, https://learn.microsoft.com/dotnet/desktop/wpf/overview/; .NET MAUI 10, https://learn.microsoft.com/dotnet/maui/whats-new/dotnet-10?view=net-maui-10.0.</w:t>
            </w:r>
          </w:p>
        </w:tc>
      </w:tr>
      <w:tr w:rsidR="000B6BBE" w14:paraId="1F057D32" w14:textId="77777777" w:rsidTr="000B6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BD531B2" w14:textId="77777777" w:rsidR="000B6BBE" w:rsidRDefault="000B6BBE" w:rsidP="000B6BBE">
            <w:r>
              <w:t>Contrato funcional</w:t>
            </w:r>
          </w:p>
        </w:tc>
        <w:tc>
          <w:tcPr>
            <w:tcW w:w="4703" w:type="dxa"/>
          </w:tcPr>
          <w:p w14:paraId="5CE02C04" w14:textId="77777777" w:rsidR="000B6BBE" w:rsidRDefault="000B6BBE" w:rsidP="000B6B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Operaciones, unidades, credenciales de demostración y vigencia definidos para este conversor.</w:t>
            </w:r>
          </w:p>
        </w:tc>
      </w:tr>
    </w:tbl>
    <w:p w14:paraId="19D20735" w14:textId="06152FB3" w:rsidR="00FE5194" w:rsidRPr="006018F0" w:rsidRDefault="00FE5194" w:rsidP="000B6BBE"/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B6BBE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39DB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5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2</Pages>
  <Words>882</Words>
  <Characters>5686</Characters>
  <Application>Microsoft Office Word</Application>
  <DocSecurity>0</DocSecurity>
  <Lines>299</Lines>
  <Paragraphs>234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33</cp:revision>
  <dcterms:created xsi:type="dcterms:W3CDTF">2021-09-30T22:45:00Z</dcterms:created>
  <dcterms:modified xsi:type="dcterms:W3CDTF">2026-10-28T02:03:00Z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