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95C" w:rsidRPr="0024295C" w:rsidRDefault="0024295C" w:rsidP="0024295C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24295C">
        <w:rPr>
          <w:rFonts w:ascii="Arial" w:hAnsi="Arial" w:cs="Arial"/>
          <w:b/>
          <w:sz w:val="58"/>
        </w:rPr>
        <w:t>EUREKABANK</w:t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24295C">
        <w:rPr>
          <w:rFonts w:ascii="Arial" w:hAnsi="Arial" w:cs="Arial"/>
          <w:b/>
          <w:sz w:val="26"/>
        </w:rPr>
        <w:t>GRUPO 09 · NRC 36884</w:t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24295C" w:rsidRPr="0024295C" w:rsidRDefault="0024295C" w:rsidP="0024295C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24295C">
        <w:rPr>
          <w:rFonts w:ascii="Arial" w:hAnsi="Arial" w:cs="Arial"/>
          <w:b/>
          <w:sz w:val="42"/>
        </w:rPr>
        <w:t>MANUAL TÉCNICO</w:t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  <w:sz w:val="26"/>
        </w:rPr>
      </w:pPr>
      <w:r w:rsidRPr="0024295C">
        <w:rPr>
          <w:rFonts w:ascii="Arial" w:hAnsi="Arial" w:cs="Arial"/>
          <w:sz w:val="26"/>
        </w:rPr>
        <w:t>Cliente .NET · SOAP</w:t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</w:rPr>
      </w:pPr>
      <w:r w:rsidRPr="0024295C">
        <w:rPr>
          <w:rFonts w:ascii="Arial" w:hAnsi="Arial" w:cs="Arial"/>
        </w:rPr>
        <w:t>Protocolo: SOAP</w:t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</w:rPr>
      </w:pPr>
      <w:r w:rsidRPr="0024295C">
        <w:rPr>
          <w:rFonts w:ascii="Arial" w:hAnsi="Arial" w:cs="Arial"/>
        </w:rPr>
        <w:t>Tecnología: .NET</w:t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</w:rPr>
      </w:pPr>
      <w:r w:rsidRPr="0024295C">
        <w:rPr>
          <w:rFonts w:ascii="Arial" w:hAnsi="Arial" w:cs="Arial"/>
        </w:rPr>
        <w:t>Base de datos: SQL Server</w:t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22 de octubre de 2026</w:t>
      </w:r>
    </w:p>
    <w:p w:rsidR="0024295C" w:rsidRDefault="0024295C">
      <w:r>
        <w:br w:type="page"/>
      </w:r>
    </w:p>
    <w:p w:rsidR="0024295C" w:rsidRPr="0024295C" w:rsidRDefault="0024295C" w:rsidP="0024295C">
      <w:pPr>
        <w:pStyle w:val="Ttulo1"/>
        <w:spacing w:after="120"/>
        <w:rPr>
          <w:rFonts w:ascii="Arial" w:hAnsi="Arial" w:cs="Arial"/>
          <w:b/>
          <w:sz w:val="30"/>
        </w:rPr>
      </w:pPr>
      <w:r w:rsidRPr="0024295C">
        <w:rPr>
          <w:rFonts w:ascii="Arial" w:hAnsi="Arial" w:cs="Arial"/>
          <w:b/>
          <w:sz w:val="30"/>
        </w:rPr>
        <w:lastRenderedPageBreak/>
        <w:t>1. Propósito y alcance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Describe arquitectura, operación y mantenimiento de EurekaBank para .NET con SOAP. Permite iniciar sesión, consultar movimientos, registrar depósitos, transferir fondos y cerrar sesión. Los clientes consumen el servicio y no abren conexiones directas a la base de datos.</w:t>
      </w:r>
    </w:p>
    <w:p w:rsidR="0024295C" w:rsidRPr="0024295C" w:rsidRDefault="0024295C" w:rsidP="0024295C">
      <w:pPr>
        <w:pStyle w:val="Ttulo1"/>
        <w:spacing w:after="120"/>
        <w:rPr>
          <w:rFonts w:ascii="Arial" w:hAnsi="Arial" w:cs="Arial"/>
          <w:b/>
          <w:sz w:val="30"/>
        </w:rPr>
      </w:pPr>
      <w:r w:rsidRPr="0024295C">
        <w:rPr>
          <w:rFonts w:ascii="Arial" w:hAnsi="Arial" w:cs="Arial"/>
          <w:b/>
          <w:sz w:val="30"/>
        </w:rPr>
        <w:t>2. Arquitectura y tecnologías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Servicio: .NET 10 y CoreWCF. Persistencia: SQL Server. Clientes .NET: consola, WPF, ASP.NET Core MVC y MAUI.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24295C" w:rsidTr="00242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24295C" w:rsidRPr="0024295C" w:rsidRDefault="0024295C">
            <w:pPr>
              <w:rPr>
                <w:rFonts w:ascii="Arial" w:hAnsi="Arial" w:cs="Arial"/>
                <w:b/>
                <w:sz w:val="18"/>
              </w:rPr>
            </w:pPr>
            <w:r w:rsidRPr="0024295C"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24295C" w:rsidRPr="0024295C" w:rsidRDefault="0024295C">
            <w:pPr>
              <w:rPr>
                <w:rFonts w:ascii="Arial" w:hAnsi="Arial" w:cs="Arial"/>
                <w:b/>
                <w:sz w:val="18"/>
              </w:rPr>
            </w:pPr>
            <w:r w:rsidRPr="0024295C"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Captura datos, muestra resultados y errores.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Valida interacción, administra navegación y coordina servicios.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Representa cuentas, movimientos, sesiones, depósitos y transferencias.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Serializa solicitudes y procesa respuestas SOAP.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Servicio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Aplica reglas, controla transacciones y accede al motor.</w:t>
            </w:r>
          </w:p>
        </w:tc>
      </w:tr>
    </w:tbl>
    <w:p w:rsidR="0024295C" w:rsidRDefault="0024295C"/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Los clientes .NET separan vistas, controladores y servicios con MVC. El servidor mantiene autorización, reglas bancarias y persistencia.</w:t>
      </w:r>
    </w:p>
    <w:p w:rsidR="0024295C" w:rsidRPr="0024295C" w:rsidRDefault="0024295C" w:rsidP="0024295C">
      <w:pPr>
        <w:pStyle w:val="Ttulo1"/>
        <w:spacing w:after="120"/>
        <w:rPr>
          <w:rFonts w:ascii="Arial" w:hAnsi="Arial" w:cs="Arial"/>
          <w:b/>
          <w:sz w:val="30"/>
        </w:rPr>
      </w:pPr>
      <w:r w:rsidRPr="0024295C">
        <w:rPr>
          <w:rFonts w:ascii="Arial" w:hAnsi="Arial" w:cs="Arial"/>
          <w:b/>
          <w:sz w:val="30"/>
        </w:rPr>
        <w:t>3. Contrato de comunicación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WSEureka publica un contrato WSDL con mensajes XML. Operaciones: login, crearSesion, traerMovimientos, regDeposito, transferir y cerrarSesion. El token temporal identifica la sesión autenticada.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0"/>
        <w:gridCol w:w="6639"/>
      </w:tblGrid>
      <w:tr w:rsidR="0024295C" w:rsidTr="00242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0" w:type="pct"/>
            <w:shd w:val="clear" w:color="auto" w:fill="E6E6E6"/>
            <w:vAlign w:val="center"/>
          </w:tcPr>
          <w:p w:rsidR="0024295C" w:rsidRPr="0024295C" w:rsidRDefault="0024295C">
            <w:pPr>
              <w:rPr>
                <w:rFonts w:ascii="Arial" w:hAnsi="Arial" w:cs="Arial"/>
                <w:b/>
                <w:sz w:val="18"/>
              </w:rPr>
            </w:pPr>
            <w:r w:rsidRPr="0024295C">
              <w:rPr>
                <w:rFonts w:ascii="Arial" w:hAnsi="Arial" w:cs="Arial"/>
                <w:b/>
                <w:sz w:val="18"/>
              </w:rPr>
              <w:t>Operación</w:t>
            </w:r>
          </w:p>
        </w:tc>
        <w:tc>
          <w:tcPr>
            <w:tcW w:w="3480" w:type="pct"/>
            <w:shd w:val="clear" w:color="auto" w:fill="E6E6E6"/>
            <w:vAlign w:val="center"/>
          </w:tcPr>
          <w:p w:rsidR="0024295C" w:rsidRPr="0024295C" w:rsidRDefault="0024295C">
            <w:pPr>
              <w:rPr>
                <w:rFonts w:ascii="Arial" w:hAnsi="Arial" w:cs="Arial"/>
                <w:b/>
                <w:sz w:val="18"/>
              </w:rPr>
            </w:pPr>
            <w:r w:rsidRPr="0024295C">
              <w:rPr>
                <w:rFonts w:ascii="Arial" w:hAnsi="Arial" w:cs="Arial"/>
                <w:b/>
                <w:sz w:val="18"/>
              </w:rPr>
              <w:t>Uso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login / crearSesion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Validar credenciales y emitir token temporal.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traerMovimientos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Consultar movimientos de una cuenta.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regDeposito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Registrar un depósito.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transferir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Enviar token, origen, destino, importe y clave idempotente.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cerrarSesion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24295C" w:rsidRPr="0024295C" w:rsidRDefault="0024295C">
            <w:pPr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Revocar el token.</w:t>
            </w:r>
          </w:p>
        </w:tc>
      </w:tr>
    </w:tbl>
    <w:p w:rsidR="0024295C" w:rsidRDefault="0024295C"/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Endpoint local: http://localhost:5080/WSEureka. Configuración del cliente: EUREKABANK_SOAP_DOTNET_URL. Para emulador o teléfono, defina una dirección alcanzable desde el dispositivo.</w:t>
      </w:r>
    </w:p>
    <w:p w:rsidR="0024295C" w:rsidRPr="0024295C" w:rsidRDefault="0024295C" w:rsidP="0024295C">
      <w:pPr>
        <w:pStyle w:val="Ttulo1"/>
        <w:spacing w:after="120"/>
        <w:rPr>
          <w:rFonts w:ascii="Arial" w:hAnsi="Arial" w:cs="Arial"/>
          <w:b/>
          <w:sz w:val="30"/>
        </w:rPr>
      </w:pPr>
      <w:r w:rsidRPr="0024295C">
        <w:rPr>
          <w:rFonts w:ascii="Arial" w:hAnsi="Arial" w:cs="Arial"/>
          <w:b/>
          <w:sz w:val="30"/>
        </w:rPr>
        <w:t>4. Transferencias seguras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Destino propio o de terceros; origen de titularidad autenticada. Débito, crédito, movimientos y transferencia forman una unidad atómica.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• Validar cuentas distintas de ocho dígitos e importe positivo con hasta dos decimales.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• Verificar sesión, titularidad del origen, existencia, estado activo y moneda común.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• Bloquear cuentas en orden determinista y comprobar saldo disponible.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• Guardar transferencia, débito 009 SALIDA y crédito 008 INGRESO en una transacción.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• Revertir todos los cambios ante fallo. Reintentar con la misma clave idempotente.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Consultas parametrizadas reducen el riesgo de inyección. La misma clave con los mismos datos no duplica movimientos; la clave con datos distintos se rechaza.</w:t>
      </w:r>
    </w:p>
    <w:p w:rsidR="0024295C" w:rsidRPr="0024295C" w:rsidRDefault="0024295C" w:rsidP="0024295C">
      <w:pPr>
        <w:pStyle w:val="Ttulo1"/>
        <w:spacing w:after="120"/>
        <w:rPr>
          <w:rFonts w:ascii="Arial" w:hAnsi="Arial" w:cs="Arial"/>
          <w:b/>
          <w:sz w:val="30"/>
        </w:rPr>
      </w:pPr>
      <w:r w:rsidRPr="0024295C">
        <w:rPr>
          <w:rFonts w:ascii="Arial" w:hAnsi="Arial" w:cs="Arial"/>
          <w:b/>
          <w:sz w:val="30"/>
        </w:rPr>
        <w:lastRenderedPageBreak/>
        <w:t>5. Persistencia y MER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El esquema tiene 19 entidades y 87 atributos. El MER conceptual muestra entidades y relaciones; el lógico detalla atributos y claves; el físico adapta tipos a SQL Server. Los modelos editables PowerDesigner acompañan las imágenes.</w:t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  <w:sz w:val="18"/>
        </w:rPr>
      </w:pPr>
      <w:r w:rsidRPr="0024295C">
        <w:rPr>
          <w:rFonts w:ascii="Arial" w:hAnsi="Arial" w:cs="Arial"/>
          <w:sz w:val="18"/>
        </w:rPr>
        <w:t>Ilustración 1. MER conceptual: cuenta de origen y transferencia.</w:t>
      </w:r>
    </w:p>
    <w:p w:rsidR="0024295C" w:rsidRDefault="0024295C" w:rsidP="0024295C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4975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  <w:sz w:val="18"/>
        </w:rPr>
      </w:pPr>
      <w:r w:rsidRPr="0024295C">
        <w:rPr>
          <w:rFonts w:ascii="Arial" w:hAnsi="Arial" w:cs="Arial"/>
          <w:sz w:val="18"/>
        </w:rPr>
        <w:t>Ilustración 2. MER lógico: cuenta de origen y transferencia.</w:t>
      </w:r>
    </w:p>
    <w:p w:rsidR="0024295C" w:rsidRDefault="0024295C" w:rsidP="0024295C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39346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5C" w:rsidRPr="0024295C" w:rsidRDefault="0024295C" w:rsidP="0024295C">
      <w:pPr>
        <w:keepLines/>
        <w:spacing w:after="120"/>
        <w:jc w:val="center"/>
        <w:rPr>
          <w:rFonts w:ascii="Arial" w:hAnsi="Arial" w:cs="Arial"/>
          <w:sz w:val="18"/>
        </w:rPr>
      </w:pPr>
      <w:r w:rsidRPr="0024295C">
        <w:rPr>
          <w:rFonts w:ascii="Arial" w:hAnsi="Arial" w:cs="Arial"/>
          <w:sz w:val="18"/>
        </w:rPr>
        <w:t>Ilustración 3. MER físico para SQL Server: cuenta de origen y transferencia.</w:t>
      </w:r>
    </w:p>
    <w:p w:rsidR="0024295C" w:rsidRDefault="0024295C" w:rsidP="0024295C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2802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5C" w:rsidRPr="0024295C" w:rsidRDefault="0024295C" w:rsidP="0024295C">
      <w:pPr>
        <w:pStyle w:val="Ttulo1"/>
        <w:spacing w:after="120"/>
        <w:rPr>
          <w:rFonts w:ascii="Arial" w:hAnsi="Arial" w:cs="Arial"/>
          <w:b/>
          <w:sz w:val="30"/>
        </w:rPr>
      </w:pPr>
      <w:r w:rsidRPr="0024295C">
        <w:rPr>
          <w:rFonts w:ascii="Arial" w:hAnsi="Arial" w:cs="Arial"/>
          <w:b/>
          <w:sz w:val="30"/>
        </w:rPr>
        <w:t>6. Configuración y construcción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El servidor .NET se configura con EUREKABANK_DB_CONNECTION_STRING. Mantenga los valores reales en variables de entorno; nunca en código, capturas, registros o documentación.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Verifique .NET 10 y sus dependencias. Ejecute dotnet build y dotnet test desde la solución o módulo. Inicie el servicio y configure su endpoint antes de usar las interfaces.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Se requiere servicio activo, esquema creado y migraciones de transferencia aplicadas.</w:t>
      </w:r>
    </w:p>
    <w:p w:rsidR="0024295C" w:rsidRPr="0024295C" w:rsidRDefault="0024295C" w:rsidP="0024295C">
      <w:pPr>
        <w:pStyle w:val="Ttulo1"/>
        <w:spacing w:after="120"/>
        <w:rPr>
          <w:rFonts w:ascii="Arial" w:hAnsi="Arial" w:cs="Arial"/>
          <w:b/>
          <w:sz w:val="30"/>
        </w:rPr>
      </w:pPr>
      <w:r w:rsidRPr="0024295C">
        <w:rPr>
          <w:rFonts w:ascii="Arial" w:hAnsi="Arial" w:cs="Arial"/>
          <w:b/>
          <w:sz w:val="30"/>
        </w:rPr>
        <w:t>7. Captura de interfaz</w:t>
      </w: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Captura real del formulario de inicio de sesión con campos vacíos. No representa autenticación contra un servicio activo.</w:t>
      </w:r>
    </w:p>
    <w:p w:rsidR="0024295C" w:rsidRDefault="0024295C" w:rsidP="0024295C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588000" cy="4246903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24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5C" w:rsidRPr="0024295C" w:rsidRDefault="0024295C" w:rsidP="0024295C">
      <w:pPr>
        <w:pStyle w:val="Ttulo1"/>
        <w:spacing w:after="120"/>
        <w:rPr>
          <w:rFonts w:ascii="Arial" w:hAnsi="Arial" w:cs="Arial"/>
          <w:b/>
          <w:sz w:val="30"/>
        </w:rPr>
      </w:pPr>
      <w:r w:rsidRPr="0024295C">
        <w:rPr>
          <w:rFonts w:ascii="Arial" w:hAnsi="Arial" w:cs="Arial"/>
          <w:b/>
          <w:sz w:val="30"/>
        </w:rPr>
        <w:t>8. Diagnóstico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24295C" w:rsidTr="00242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24295C">
              <w:rPr>
                <w:rFonts w:ascii="Arial" w:hAnsi="Arial" w:cs="Arial"/>
                <w:b/>
                <w:sz w:val="18"/>
              </w:rPr>
              <w:t>Síntoma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24295C">
              <w:rPr>
                <w:rFonts w:ascii="Arial" w:hAnsi="Arial" w:cs="Arial"/>
                <w:b/>
                <w:sz w:val="18"/>
              </w:rPr>
              <w:t>Verificación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Conexión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Compruebe servicio activo, endpoint configurado y puerto accesible.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Autenticación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Revise credenciales, estado y disponibilidad del repositorio.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Transferencia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Revise sesión, titularidad, estado, moneda, saldo e importe.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Respuesta incierta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Consulte resultado antes de repetir; use la misma clave idempotente.</w:t>
            </w:r>
          </w:p>
        </w:tc>
      </w:tr>
      <w:tr w:rsidR="0024295C" w:rsidTr="0024295C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Error de base de datos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24295C" w:rsidRPr="0024295C" w:rsidRDefault="0024295C" w:rsidP="0024295C">
            <w:pPr>
              <w:jc w:val="center"/>
              <w:rPr>
                <w:rFonts w:ascii="Arial" w:hAnsi="Arial" w:cs="Arial"/>
                <w:sz w:val="18"/>
              </w:rPr>
            </w:pPr>
            <w:r w:rsidRPr="0024295C">
              <w:rPr>
                <w:rFonts w:ascii="Arial" w:hAnsi="Arial" w:cs="Arial"/>
                <w:sz w:val="18"/>
              </w:rPr>
              <w:t>Revise configuración, esquema, permisos y migraciones; no muestre secretos.</w:t>
            </w:r>
          </w:p>
        </w:tc>
      </w:tr>
    </w:tbl>
    <w:p w:rsidR="0024295C" w:rsidRDefault="0024295C" w:rsidP="0024295C">
      <w:pPr>
        <w:jc w:val="center"/>
      </w:pPr>
    </w:p>
    <w:p w:rsidR="0024295C" w:rsidRPr="0024295C" w:rsidRDefault="0024295C" w:rsidP="0024295C">
      <w:pPr>
        <w:keepLines/>
        <w:spacing w:after="120"/>
        <w:rPr>
          <w:rFonts w:ascii="Arial" w:hAnsi="Arial" w:cs="Arial"/>
          <w:sz w:val="20"/>
        </w:rPr>
      </w:pPr>
      <w:r w:rsidRPr="0024295C">
        <w:rPr>
          <w:rFonts w:ascii="Arial" w:hAnsi="Arial" w:cs="Arial"/>
          <w:sz w:val="20"/>
        </w:rPr>
        <w:t>No registre contraseñas, tokens completos ni cadenas de conexión. Registre hora, código de respuesta e identificador de correlación.</w:t>
      </w:r>
    </w:p>
    <w:p w:rsidR="00B65F66" w:rsidRDefault="00B65F66" w:rsidP="0024295C">
      <w:pPr>
        <w:jc w:val="center"/>
      </w:pPr>
    </w:p>
    <w:sectPr w:rsidR="00B65F66" w:rsidSect="0024295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95C" w:rsidRDefault="0024295C" w:rsidP="0024295C">
      <w:pPr>
        <w:spacing w:after="0" w:line="240" w:lineRule="auto"/>
      </w:pPr>
      <w:r>
        <w:separator/>
      </w:r>
    </w:p>
  </w:endnote>
  <w:endnote w:type="continuationSeparator" w:id="0">
    <w:p w:rsidR="0024295C" w:rsidRDefault="0024295C" w:rsidP="00242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295C" w:rsidRDefault="0024295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295C" w:rsidRPr="0024295C" w:rsidRDefault="0024295C" w:rsidP="0024295C">
    <w:pPr>
      <w:pStyle w:val="Piedepgina"/>
      <w:jc w:val="right"/>
      <w:rPr>
        <w:rFonts w:ascii="Arial" w:hAnsi="Arial" w:cs="Arial"/>
        <w:sz w:val="16"/>
      </w:rPr>
    </w:pPr>
    <w:r w:rsidRPr="0024295C">
      <w:rPr>
        <w:rFonts w:ascii="Arial" w:hAnsi="Arial" w:cs="Arial"/>
        <w:sz w:val="16"/>
      </w:rPr>
      <w:t>EUREKABANK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295C" w:rsidRDefault="0024295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95C" w:rsidRDefault="0024295C" w:rsidP="0024295C">
      <w:pPr>
        <w:spacing w:after="0" w:line="240" w:lineRule="auto"/>
      </w:pPr>
      <w:r>
        <w:separator/>
      </w:r>
    </w:p>
  </w:footnote>
  <w:footnote w:type="continuationSeparator" w:id="0">
    <w:p w:rsidR="0024295C" w:rsidRDefault="0024295C" w:rsidP="00242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295C" w:rsidRDefault="0024295C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295C" w:rsidRDefault="0024295C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295C" w:rsidRDefault="0024295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95C"/>
    <w:rsid w:val="0024295C"/>
    <w:rsid w:val="00B6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3FCBFBA-939B-4EB1-AC42-01961A22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9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29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295C"/>
  </w:style>
  <w:style w:type="paragraph" w:styleId="Piedepgina">
    <w:name w:val="footer"/>
    <w:basedOn w:val="Normal"/>
    <w:link w:val="PiedepginaCar"/>
    <w:uiPriority w:val="99"/>
    <w:unhideWhenUsed/>
    <w:rsid w:val="002429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95C"/>
  </w:style>
  <w:style w:type="paragraph" w:styleId="Puesto">
    <w:name w:val="Title"/>
    <w:basedOn w:val="Normal"/>
    <w:next w:val="Normal"/>
    <w:link w:val="PuestoCar"/>
    <w:uiPriority w:val="10"/>
    <w:qFormat/>
    <w:rsid w:val="002429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4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2429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3614</Characters>
  <Application>Microsoft Office Word</Application>
  <DocSecurity>0</DocSecurity>
  <Lines>98</Lines>
  <Paragraphs>73</Paragraphs>
  <ScaleCrop>false</ScaleCrop>
  <Company/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2026-10-22T19:54:00Z</dcterms:created>
  <dcterms:modified xsi:type="dcterms:W3CDTF">2026-10-22T19:54:00Z</dcterms:modified>
</cp:coreProperties>
</file>