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D5E17" w:rsidRPr="009D5E17" w:rsidRDefault="009D5E17" w:rsidP="009D5E17">
      <w:pPr>
        <w:pStyle w:val="Puesto"/>
        <w:keepLines/>
        <w:spacing w:after="120"/>
        <w:jc w:val="center"/>
        <w:rPr>
          <w:rFonts w:ascii="Arial" w:hAnsi="Arial" w:cs="Arial"/>
          <w:b/>
          <w:sz w:val="58"/>
        </w:rPr>
      </w:pPr>
      <w:bookmarkStart w:id="0" w:name="_GoBack"/>
      <w:bookmarkEnd w:id="0"/>
      <w:r w:rsidRPr="009D5E17">
        <w:rPr>
          <w:rFonts w:ascii="Arial" w:hAnsi="Arial" w:cs="Arial"/>
          <w:b/>
          <w:sz w:val="58"/>
        </w:rPr>
        <w:t>EUREKABANK</w:t>
      </w:r>
    </w:p>
    <w:p w:rsidR="009D5E17" w:rsidRPr="009D5E17" w:rsidRDefault="009D5E17" w:rsidP="009D5E17">
      <w:pPr>
        <w:keepLines/>
        <w:spacing w:after="120"/>
        <w:jc w:val="center"/>
        <w:rPr>
          <w:rFonts w:ascii="Arial" w:hAnsi="Arial" w:cs="Arial"/>
          <w:b/>
          <w:sz w:val="26"/>
        </w:rPr>
      </w:pPr>
      <w:r w:rsidRPr="009D5E17">
        <w:rPr>
          <w:rFonts w:ascii="Arial" w:hAnsi="Arial" w:cs="Arial"/>
          <w:b/>
          <w:sz w:val="26"/>
        </w:rPr>
        <w:t>GRUPO 09 · NRC 36884</w:t>
      </w:r>
    </w:p>
    <w:p w:rsidR="009D5E17" w:rsidRPr="009D5E17" w:rsidRDefault="009D5E17" w:rsidP="009D5E17">
      <w:pPr>
        <w:keepLines/>
        <w:spacing w:after="120"/>
        <w:jc w:val="center"/>
        <w:rPr>
          <w:rFonts w:ascii="Arial" w:hAnsi="Arial" w:cs="Arial"/>
          <w:sz w:val="24"/>
        </w:rPr>
      </w:pPr>
    </w:p>
    <w:p w:rsidR="009D5E17" w:rsidRPr="009D5E17" w:rsidRDefault="009D5E17" w:rsidP="009D5E17">
      <w:pPr>
        <w:pStyle w:val="Ttulo1"/>
        <w:spacing w:after="120"/>
        <w:jc w:val="center"/>
        <w:rPr>
          <w:rFonts w:ascii="Arial" w:hAnsi="Arial" w:cs="Arial"/>
          <w:b/>
          <w:sz w:val="42"/>
        </w:rPr>
      </w:pPr>
      <w:r w:rsidRPr="009D5E17">
        <w:rPr>
          <w:rFonts w:ascii="Arial" w:hAnsi="Arial" w:cs="Arial"/>
          <w:b/>
          <w:sz w:val="42"/>
        </w:rPr>
        <w:t>MANUAL TÉCNICO</w:t>
      </w:r>
    </w:p>
    <w:p w:rsidR="009D5E17" w:rsidRPr="009D5E17" w:rsidRDefault="009D5E17" w:rsidP="009D5E17">
      <w:pPr>
        <w:keepLines/>
        <w:spacing w:after="120"/>
        <w:jc w:val="center"/>
        <w:rPr>
          <w:rFonts w:ascii="Arial" w:hAnsi="Arial" w:cs="Arial"/>
          <w:sz w:val="26"/>
        </w:rPr>
      </w:pPr>
      <w:r w:rsidRPr="009D5E17">
        <w:rPr>
          <w:rFonts w:ascii="Arial" w:hAnsi="Arial" w:cs="Arial"/>
          <w:sz w:val="26"/>
        </w:rPr>
        <w:t>Cliente .NET · REST</w:t>
      </w:r>
    </w:p>
    <w:p w:rsidR="009D5E17" w:rsidRPr="009D5E17" w:rsidRDefault="009D5E17" w:rsidP="009D5E17">
      <w:pPr>
        <w:keepLines/>
        <w:spacing w:after="120"/>
        <w:jc w:val="center"/>
        <w:rPr>
          <w:rFonts w:ascii="Arial" w:hAnsi="Arial" w:cs="Arial"/>
          <w:sz w:val="20"/>
        </w:rPr>
      </w:pPr>
    </w:p>
    <w:p w:rsidR="009D5E17" w:rsidRPr="009D5E17" w:rsidRDefault="009D5E17" w:rsidP="009D5E17">
      <w:pPr>
        <w:keepLines/>
        <w:spacing w:after="120"/>
        <w:jc w:val="center"/>
        <w:rPr>
          <w:rFonts w:ascii="Arial" w:hAnsi="Arial" w:cs="Arial"/>
        </w:rPr>
      </w:pPr>
      <w:r w:rsidRPr="009D5E17">
        <w:rPr>
          <w:rFonts w:ascii="Arial" w:hAnsi="Arial" w:cs="Arial"/>
        </w:rPr>
        <w:t>Protocolo: REST</w:t>
      </w:r>
    </w:p>
    <w:p w:rsidR="009D5E17" w:rsidRPr="009D5E17" w:rsidRDefault="009D5E17" w:rsidP="009D5E17">
      <w:pPr>
        <w:keepLines/>
        <w:spacing w:after="120"/>
        <w:jc w:val="center"/>
        <w:rPr>
          <w:rFonts w:ascii="Arial" w:hAnsi="Arial" w:cs="Arial"/>
        </w:rPr>
      </w:pPr>
      <w:r w:rsidRPr="009D5E17">
        <w:rPr>
          <w:rFonts w:ascii="Arial" w:hAnsi="Arial" w:cs="Arial"/>
        </w:rPr>
        <w:t>Tecnología: .NET</w:t>
      </w:r>
    </w:p>
    <w:p w:rsidR="009D5E17" w:rsidRPr="009D5E17" w:rsidRDefault="009D5E17" w:rsidP="009D5E17">
      <w:pPr>
        <w:keepLines/>
        <w:spacing w:after="120"/>
        <w:jc w:val="center"/>
        <w:rPr>
          <w:rFonts w:ascii="Arial" w:hAnsi="Arial" w:cs="Arial"/>
        </w:rPr>
      </w:pPr>
      <w:r w:rsidRPr="009D5E17">
        <w:rPr>
          <w:rFonts w:ascii="Arial" w:hAnsi="Arial" w:cs="Arial"/>
        </w:rPr>
        <w:t>Base de datos: SQL Server</w:t>
      </w:r>
    </w:p>
    <w:p w:rsidR="009D5E17" w:rsidRPr="009D5E17" w:rsidRDefault="009D5E17" w:rsidP="009D5E17">
      <w:pPr>
        <w:keepLines/>
        <w:spacing w:after="120"/>
        <w:jc w:val="center"/>
        <w:rPr>
          <w:rFonts w:ascii="Arial" w:hAnsi="Arial" w:cs="Arial"/>
          <w:sz w:val="20"/>
        </w:rPr>
      </w:pPr>
      <w:r w:rsidRPr="009D5E17">
        <w:rPr>
          <w:rFonts w:ascii="Arial" w:hAnsi="Arial" w:cs="Arial"/>
          <w:sz w:val="20"/>
        </w:rPr>
        <w:t>22 de octubre de 2026</w:t>
      </w:r>
    </w:p>
    <w:p w:rsidR="009D5E17" w:rsidRDefault="009D5E17">
      <w:r>
        <w:br w:type="page"/>
      </w:r>
    </w:p>
    <w:p w:rsidR="009D5E17" w:rsidRPr="009D5E17" w:rsidRDefault="009D5E17" w:rsidP="009D5E17">
      <w:pPr>
        <w:pStyle w:val="Ttulo1"/>
        <w:spacing w:after="120"/>
        <w:rPr>
          <w:rFonts w:ascii="Arial" w:hAnsi="Arial" w:cs="Arial"/>
          <w:b/>
          <w:sz w:val="30"/>
        </w:rPr>
      </w:pPr>
      <w:r w:rsidRPr="009D5E17">
        <w:rPr>
          <w:rFonts w:ascii="Arial" w:hAnsi="Arial" w:cs="Arial"/>
          <w:b/>
          <w:sz w:val="30"/>
        </w:rPr>
        <w:lastRenderedPageBreak/>
        <w:t>1. Propósito y alcance</w:t>
      </w:r>
    </w:p>
    <w:p w:rsidR="009D5E17" w:rsidRPr="009D5E17" w:rsidRDefault="009D5E17" w:rsidP="009D5E17">
      <w:pPr>
        <w:keepLines/>
        <w:spacing w:after="120"/>
        <w:rPr>
          <w:rFonts w:ascii="Arial" w:hAnsi="Arial" w:cs="Arial"/>
          <w:sz w:val="20"/>
        </w:rPr>
      </w:pPr>
      <w:r w:rsidRPr="009D5E17">
        <w:rPr>
          <w:rFonts w:ascii="Arial" w:hAnsi="Arial" w:cs="Arial"/>
          <w:sz w:val="20"/>
        </w:rPr>
        <w:t>Describe arquitectura, operación y mantenimiento de EurekaBank para .NET con REST. Permite iniciar sesión, consultar movimientos, registrar depósitos, transferir fondos y cerrar sesión. Los clientes consumen el servicio y no abren conexiones directas a la base de datos.</w:t>
      </w:r>
    </w:p>
    <w:p w:rsidR="009D5E17" w:rsidRPr="009D5E17" w:rsidRDefault="009D5E17" w:rsidP="009D5E17">
      <w:pPr>
        <w:pStyle w:val="Ttulo1"/>
        <w:spacing w:after="120"/>
        <w:rPr>
          <w:rFonts w:ascii="Arial" w:hAnsi="Arial" w:cs="Arial"/>
          <w:b/>
          <w:sz w:val="30"/>
        </w:rPr>
      </w:pPr>
      <w:r w:rsidRPr="009D5E17">
        <w:rPr>
          <w:rFonts w:ascii="Arial" w:hAnsi="Arial" w:cs="Arial"/>
          <w:b/>
          <w:sz w:val="30"/>
        </w:rPr>
        <w:t>2. Arquitectura y tecnologías</w:t>
      </w:r>
    </w:p>
    <w:p w:rsidR="009D5E17" w:rsidRPr="009D5E17" w:rsidRDefault="009D5E17" w:rsidP="009D5E17">
      <w:pPr>
        <w:keepLines/>
        <w:spacing w:after="120"/>
        <w:rPr>
          <w:rFonts w:ascii="Arial" w:hAnsi="Arial" w:cs="Arial"/>
          <w:sz w:val="20"/>
        </w:rPr>
      </w:pPr>
      <w:r w:rsidRPr="009D5E17">
        <w:rPr>
          <w:rFonts w:ascii="Arial" w:hAnsi="Arial" w:cs="Arial"/>
          <w:sz w:val="20"/>
        </w:rPr>
        <w:t>Servicio: .NET 10 y ASP.NET Core. Persistencia: SQL Server. Clientes .NET: consola, WPF, ASP.NET Core MVC y MAUI.</w:t>
      </w:r>
    </w:p>
    <w:tbl>
      <w:tblPr>
        <w:tblW w:w="489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40"/>
        <w:gridCol w:w="7299"/>
      </w:tblGrid>
      <w:tr w:rsidR="009D5E17" w:rsidTr="009D5E1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74" w:type="pct"/>
            <w:shd w:val="clear" w:color="auto" w:fill="E6E6E6"/>
            <w:vAlign w:val="center"/>
          </w:tcPr>
          <w:p w:rsidR="009D5E17" w:rsidRPr="009D5E17" w:rsidRDefault="009D5E17">
            <w:pPr>
              <w:rPr>
                <w:rFonts w:ascii="Arial" w:hAnsi="Arial" w:cs="Arial"/>
                <w:b/>
                <w:sz w:val="18"/>
              </w:rPr>
            </w:pPr>
            <w:r w:rsidRPr="009D5E17">
              <w:rPr>
                <w:rFonts w:ascii="Arial" w:hAnsi="Arial" w:cs="Arial"/>
                <w:b/>
                <w:sz w:val="18"/>
              </w:rPr>
              <w:t>Capa</w:t>
            </w:r>
          </w:p>
        </w:tc>
        <w:tc>
          <w:tcPr>
            <w:tcW w:w="3826" w:type="pct"/>
            <w:shd w:val="clear" w:color="auto" w:fill="E6E6E6"/>
            <w:vAlign w:val="center"/>
          </w:tcPr>
          <w:p w:rsidR="009D5E17" w:rsidRPr="009D5E17" w:rsidRDefault="009D5E17">
            <w:pPr>
              <w:rPr>
                <w:rFonts w:ascii="Arial" w:hAnsi="Arial" w:cs="Arial"/>
                <w:b/>
                <w:sz w:val="18"/>
              </w:rPr>
            </w:pPr>
            <w:r w:rsidRPr="009D5E17">
              <w:rPr>
                <w:rFonts w:ascii="Arial" w:hAnsi="Arial" w:cs="Arial"/>
                <w:b/>
                <w:sz w:val="18"/>
              </w:rPr>
              <w:t>Responsabilidad</w:t>
            </w:r>
          </w:p>
        </w:tc>
      </w:tr>
      <w:tr w:rsidR="009D5E17" w:rsidTr="009D5E17">
        <w:tblPrEx>
          <w:tblCellMar>
            <w:top w:w="0" w:type="dxa"/>
            <w:bottom w:w="0" w:type="dxa"/>
          </w:tblCellMar>
        </w:tblPrEx>
        <w:tc>
          <w:tcPr>
            <w:tcW w:w="1174" w:type="pct"/>
            <w:shd w:val="clear" w:color="auto" w:fill="auto"/>
            <w:vAlign w:val="center"/>
          </w:tcPr>
          <w:p w:rsidR="009D5E17" w:rsidRPr="009D5E17" w:rsidRDefault="009D5E17">
            <w:pPr>
              <w:rPr>
                <w:rFonts w:ascii="Arial" w:hAnsi="Arial" w:cs="Arial"/>
                <w:sz w:val="18"/>
              </w:rPr>
            </w:pPr>
            <w:r w:rsidRPr="009D5E17">
              <w:rPr>
                <w:rFonts w:ascii="Arial" w:hAnsi="Arial" w:cs="Arial"/>
                <w:sz w:val="18"/>
              </w:rPr>
              <w:t>Vista</w:t>
            </w:r>
          </w:p>
        </w:tc>
        <w:tc>
          <w:tcPr>
            <w:tcW w:w="3826" w:type="pct"/>
            <w:shd w:val="clear" w:color="auto" w:fill="auto"/>
            <w:vAlign w:val="center"/>
          </w:tcPr>
          <w:p w:rsidR="009D5E17" w:rsidRPr="009D5E17" w:rsidRDefault="009D5E17">
            <w:pPr>
              <w:rPr>
                <w:rFonts w:ascii="Arial" w:hAnsi="Arial" w:cs="Arial"/>
                <w:sz w:val="18"/>
              </w:rPr>
            </w:pPr>
            <w:r w:rsidRPr="009D5E17">
              <w:rPr>
                <w:rFonts w:ascii="Arial" w:hAnsi="Arial" w:cs="Arial"/>
                <w:sz w:val="18"/>
              </w:rPr>
              <w:t>Captura datos, muestra resultados y errores.</w:t>
            </w:r>
          </w:p>
        </w:tc>
      </w:tr>
      <w:tr w:rsidR="009D5E17" w:rsidTr="009D5E17">
        <w:tblPrEx>
          <w:tblCellMar>
            <w:top w:w="0" w:type="dxa"/>
            <w:bottom w:w="0" w:type="dxa"/>
          </w:tblCellMar>
        </w:tblPrEx>
        <w:tc>
          <w:tcPr>
            <w:tcW w:w="1174" w:type="pct"/>
            <w:shd w:val="clear" w:color="auto" w:fill="auto"/>
            <w:vAlign w:val="center"/>
          </w:tcPr>
          <w:p w:rsidR="009D5E17" w:rsidRPr="009D5E17" w:rsidRDefault="009D5E17">
            <w:pPr>
              <w:rPr>
                <w:rFonts w:ascii="Arial" w:hAnsi="Arial" w:cs="Arial"/>
                <w:sz w:val="18"/>
              </w:rPr>
            </w:pPr>
            <w:r w:rsidRPr="009D5E17">
              <w:rPr>
                <w:rFonts w:ascii="Arial" w:hAnsi="Arial" w:cs="Arial"/>
                <w:sz w:val="18"/>
              </w:rPr>
              <w:t>Controlador</w:t>
            </w:r>
          </w:p>
        </w:tc>
        <w:tc>
          <w:tcPr>
            <w:tcW w:w="3826" w:type="pct"/>
            <w:shd w:val="clear" w:color="auto" w:fill="auto"/>
            <w:vAlign w:val="center"/>
          </w:tcPr>
          <w:p w:rsidR="009D5E17" w:rsidRPr="009D5E17" w:rsidRDefault="009D5E17">
            <w:pPr>
              <w:rPr>
                <w:rFonts w:ascii="Arial" w:hAnsi="Arial" w:cs="Arial"/>
                <w:sz w:val="18"/>
              </w:rPr>
            </w:pPr>
            <w:r w:rsidRPr="009D5E17">
              <w:rPr>
                <w:rFonts w:ascii="Arial" w:hAnsi="Arial" w:cs="Arial"/>
                <w:sz w:val="18"/>
              </w:rPr>
              <w:t>Valida interacción, administra navegación y coordina servicios.</w:t>
            </w:r>
          </w:p>
        </w:tc>
      </w:tr>
      <w:tr w:rsidR="009D5E17" w:rsidTr="009D5E17">
        <w:tblPrEx>
          <w:tblCellMar>
            <w:top w:w="0" w:type="dxa"/>
            <w:bottom w:w="0" w:type="dxa"/>
          </w:tblCellMar>
        </w:tblPrEx>
        <w:tc>
          <w:tcPr>
            <w:tcW w:w="1174" w:type="pct"/>
            <w:shd w:val="clear" w:color="auto" w:fill="auto"/>
            <w:vAlign w:val="center"/>
          </w:tcPr>
          <w:p w:rsidR="009D5E17" w:rsidRPr="009D5E17" w:rsidRDefault="009D5E17">
            <w:pPr>
              <w:rPr>
                <w:rFonts w:ascii="Arial" w:hAnsi="Arial" w:cs="Arial"/>
                <w:sz w:val="18"/>
              </w:rPr>
            </w:pPr>
            <w:r w:rsidRPr="009D5E17">
              <w:rPr>
                <w:rFonts w:ascii="Arial" w:hAnsi="Arial" w:cs="Arial"/>
                <w:sz w:val="18"/>
              </w:rPr>
              <w:t>Modelo</w:t>
            </w:r>
          </w:p>
        </w:tc>
        <w:tc>
          <w:tcPr>
            <w:tcW w:w="3826" w:type="pct"/>
            <w:shd w:val="clear" w:color="auto" w:fill="auto"/>
            <w:vAlign w:val="center"/>
          </w:tcPr>
          <w:p w:rsidR="009D5E17" w:rsidRPr="009D5E17" w:rsidRDefault="009D5E17">
            <w:pPr>
              <w:rPr>
                <w:rFonts w:ascii="Arial" w:hAnsi="Arial" w:cs="Arial"/>
                <w:sz w:val="18"/>
              </w:rPr>
            </w:pPr>
            <w:r w:rsidRPr="009D5E17">
              <w:rPr>
                <w:rFonts w:ascii="Arial" w:hAnsi="Arial" w:cs="Arial"/>
                <w:sz w:val="18"/>
              </w:rPr>
              <w:t>Representa cuentas, movimientos, sesiones, depósitos y transferencias.</w:t>
            </w:r>
          </w:p>
        </w:tc>
      </w:tr>
      <w:tr w:rsidR="009D5E17" w:rsidTr="009D5E17">
        <w:tblPrEx>
          <w:tblCellMar>
            <w:top w:w="0" w:type="dxa"/>
            <w:bottom w:w="0" w:type="dxa"/>
          </w:tblCellMar>
        </w:tblPrEx>
        <w:tc>
          <w:tcPr>
            <w:tcW w:w="1174" w:type="pct"/>
            <w:shd w:val="clear" w:color="auto" w:fill="auto"/>
            <w:vAlign w:val="center"/>
          </w:tcPr>
          <w:p w:rsidR="009D5E17" w:rsidRPr="009D5E17" w:rsidRDefault="009D5E17">
            <w:pPr>
              <w:rPr>
                <w:rFonts w:ascii="Arial" w:hAnsi="Arial" w:cs="Arial"/>
                <w:sz w:val="18"/>
              </w:rPr>
            </w:pPr>
            <w:r w:rsidRPr="009D5E17">
              <w:rPr>
                <w:rFonts w:ascii="Arial" w:hAnsi="Arial" w:cs="Arial"/>
                <w:sz w:val="18"/>
              </w:rPr>
              <w:t>Cliente de servicio</w:t>
            </w:r>
          </w:p>
        </w:tc>
        <w:tc>
          <w:tcPr>
            <w:tcW w:w="3826" w:type="pct"/>
            <w:shd w:val="clear" w:color="auto" w:fill="auto"/>
            <w:vAlign w:val="center"/>
          </w:tcPr>
          <w:p w:rsidR="009D5E17" w:rsidRPr="009D5E17" w:rsidRDefault="009D5E17">
            <w:pPr>
              <w:rPr>
                <w:rFonts w:ascii="Arial" w:hAnsi="Arial" w:cs="Arial"/>
                <w:sz w:val="18"/>
              </w:rPr>
            </w:pPr>
            <w:r w:rsidRPr="009D5E17">
              <w:rPr>
                <w:rFonts w:ascii="Arial" w:hAnsi="Arial" w:cs="Arial"/>
                <w:sz w:val="18"/>
              </w:rPr>
              <w:t>Serializa solicitudes y procesa respuestas REST.</w:t>
            </w:r>
          </w:p>
        </w:tc>
      </w:tr>
      <w:tr w:rsidR="009D5E17" w:rsidTr="009D5E17">
        <w:tblPrEx>
          <w:tblCellMar>
            <w:top w:w="0" w:type="dxa"/>
            <w:bottom w:w="0" w:type="dxa"/>
          </w:tblCellMar>
        </w:tblPrEx>
        <w:tc>
          <w:tcPr>
            <w:tcW w:w="1174" w:type="pct"/>
            <w:shd w:val="clear" w:color="auto" w:fill="auto"/>
            <w:vAlign w:val="center"/>
          </w:tcPr>
          <w:p w:rsidR="009D5E17" w:rsidRPr="009D5E17" w:rsidRDefault="009D5E17">
            <w:pPr>
              <w:rPr>
                <w:rFonts w:ascii="Arial" w:hAnsi="Arial" w:cs="Arial"/>
                <w:sz w:val="18"/>
              </w:rPr>
            </w:pPr>
            <w:r w:rsidRPr="009D5E17">
              <w:rPr>
                <w:rFonts w:ascii="Arial" w:hAnsi="Arial" w:cs="Arial"/>
                <w:sz w:val="18"/>
              </w:rPr>
              <w:t>Servicio y repositorio</w:t>
            </w:r>
          </w:p>
        </w:tc>
        <w:tc>
          <w:tcPr>
            <w:tcW w:w="3826" w:type="pct"/>
            <w:shd w:val="clear" w:color="auto" w:fill="auto"/>
            <w:vAlign w:val="center"/>
          </w:tcPr>
          <w:p w:rsidR="009D5E17" w:rsidRPr="009D5E17" w:rsidRDefault="009D5E17">
            <w:pPr>
              <w:rPr>
                <w:rFonts w:ascii="Arial" w:hAnsi="Arial" w:cs="Arial"/>
                <w:sz w:val="18"/>
              </w:rPr>
            </w:pPr>
            <w:r w:rsidRPr="009D5E17">
              <w:rPr>
                <w:rFonts w:ascii="Arial" w:hAnsi="Arial" w:cs="Arial"/>
                <w:sz w:val="18"/>
              </w:rPr>
              <w:t>Aplica reglas, controla transacciones y accede al motor.</w:t>
            </w:r>
          </w:p>
        </w:tc>
      </w:tr>
    </w:tbl>
    <w:p w:rsidR="009D5E17" w:rsidRDefault="009D5E17"/>
    <w:p w:rsidR="009D5E17" w:rsidRPr="009D5E17" w:rsidRDefault="009D5E17" w:rsidP="009D5E17">
      <w:pPr>
        <w:keepLines/>
        <w:spacing w:after="120"/>
        <w:rPr>
          <w:rFonts w:ascii="Arial" w:hAnsi="Arial" w:cs="Arial"/>
          <w:sz w:val="20"/>
        </w:rPr>
      </w:pPr>
      <w:r w:rsidRPr="009D5E17">
        <w:rPr>
          <w:rFonts w:ascii="Arial" w:hAnsi="Arial" w:cs="Arial"/>
          <w:sz w:val="20"/>
        </w:rPr>
        <w:t>Los clientes .NET separan vistas, controladores y servicios con MVC. El servidor mantiene autorización, reglas bancarias y persistencia.</w:t>
      </w:r>
    </w:p>
    <w:p w:rsidR="009D5E17" w:rsidRPr="009D5E17" w:rsidRDefault="009D5E17" w:rsidP="009D5E17">
      <w:pPr>
        <w:pStyle w:val="Ttulo1"/>
        <w:spacing w:after="120"/>
        <w:rPr>
          <w:rFonts w:ascii="Arial" w:hAnsi="Arial" w:cs="Arial"/>
          <w:b/>
          <w:sz w:val="30"/>
        </w:rPr>
      </w:pPr>
      <w:r w:rsidRPr="009D5E17">
        <w:rPr>
          <w:rFonts w:ascii="Arial" w:hAnsi="Arial" w:cs="Arial"/>
          <w:b/>
          <w:sz w:val="30"/>
        </w:rPr>
        <w:t>3. Contrato de comunicación</w:t>
      </w:r>
    </w:p>
    <w:p w:rsidR="009D5E17" w:rsidRPr="009D5E17" w:rsidRDefault="009D5E17" w:rsidP="009D5E17">
      <w:pPr>
        <w:keepLines/>
        <w:spacing w:after="120"/>
        <w:rPr>
          <w:rFonts w:ascii="Arial" w:hAnsi="Arial" w:cs="Arial"/>
          <w:sz w:val="20"/>
        </w:rPr>
      </w:pPr>
      <w:r w:rsidRPr="009D5E17">
        <w:rPr>
          <w:rFonts w:ascii="Arial" w:hAnsi="Arial" w:cs="Arial"/>
          <w:sz w:val="20"/>
        </w:rPr>
        <w:t>El servicio HTTP intercambia JSON bajo api/eureka. La transferencia envía token Bearer en Authorization. Las respuestas distinguen solicitud inválida, sesión rechazada y error del servicio.</w:t>
      </w:r>
    </w:p>
    <w:tbl>
      <w:tblPr>
        <w:tblW w:w="489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99"/>
        <w:gridCol w:w="5140"/>
      </w:tblGrid>
      <w:tr w:rsidR="009D5E17" w:rsidTr="009D5E1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6" w:type="pct"/>
            <w:shd w:val="clear" w:color="auto" w:fill="E6E6E6"/>
            <w:vAlign w:val="center"/>
          </w:tcPr>
          <w:p w:rsidR="009D5E17" w:rsidRPr="009D5E17" w:rsidRDefault="009D5E17">
            <w:pPr>
              <w:rPr>
                <w:rFonts w:ascii="Arial" w:hAnsi="Arial" w:cs="Arial"/>
                <w:b/>
                <w:sz w:val="18"/>
              </w:rPr>
            </w:pPr>
            <w:r w:rsidRPr="009D5E17">
              <w:rPr>
                <w:rFonts w:ascii="Arial" w:hAnsi="Arial" w:cs="Arial"/>
                <w:b/>
                <w:sz w:val="18"/>
              </w:rPr>
              <w:t>Método y recurso</w:t>
            </w:r>
          </w:p>
        </w:tc>
        <w:tc>
          <w:tcPr>
            <w:tcW w:w="2694" w:type="pct"/>
            <w:shd w:val="clear" w:color="auto" w:fill="E6E6E6"/>
            <w:vAlign w:val="center"/>
          </w:tcPr>
          <w:p w:rsidR="009D5E17" w:rsidRPr="009D5E17" w:rsidRDefault="009D5E17">
            <w:pPr>
              <w:rPr>
                <w:rFonts w:ascii="Arial" w:hAnsi="Arial" w:cs="Arial"/>
                <w:b/>
                <w:sz w:val="18"/>
              </w:rPr>
            </w:pPr>
            <w:r w:rsidRPr="009D5E17">
              <w:rPr>
                <w:rFonts w:ascii="Arial" w:hAnsi="Arial" w:cs="Arial"/>
                <w:b/>
                <w:sz w:val="18"/>
              </w:rPr>
              <w:t>Uso</w:t>
            </w:r>
          </w:p>
        </w:tc>
      </w:tr>
      <w:tr w:rsidR="009D5E17" w:rsidTr="009D5E17">
        <w:tblPrEx>
          <w:tblCellMar>
            <w:top w:w="0" w:type="dxa"/>
            <w:bottom w:w="0" w:type="dxa"/>
          </w:tblCellMar>
        </w:tblPrEx>
        <w:tc>
          <w:tcPr>
            <w:tcW w:w="2306" w:type="pct"/>
            <w:shd w:val="clear" w:color="auto" w:fill="auto"/>
            <w:vAlign w:val="center"/>
          </w:tcPr>
          <w:p w:rsidR="009D5E17" w:rsidRPr="009D5E17" w:rsidRDefault="009D5E17">
            <w:pPr>
              <w:rPr>
                <w:rFonts w:ascii="Arial" w:hAnsi="Arial" w:cs="Arial"/>
                <w:sz w:val="18"/>
              </w:rPr>
            </w:pPr>
            <w:r w:rsidRPr="009D5E17">
              <w:rPr>
                <w:rFonts w:ascii="Arial" w:hAnsi="Arial" w:cs="Arial"/>
                <w:sz w:val="18"/>
              </w:rPr>
              <w:t>POST /api/eureka/login</w:t>
            </w:r>
          </w:p>
        </w:tc>
        <w:tc>
          <w:tcPr>
            <w:tcW w:w="2694" w:type="pct"/>
            <w:shd w:val="clear" w:color="auto" w:fill="auto"/>
            <w:vAlign w:val="center"/>
          </w:tcPr>
          <w:p w:rsidR="009D5E17" w:rsidRPr="009D5E17" w:rsidRDefault="009D5E17">
            <w:pPr>
              <w:rPr>
                <w:rFonts w:ascii="Arial" w:hAnsi="Arial" w:cs="Arial"/>
                <w:sz w:val="18"/>
              </w:rPr>
            </w:pPr>
            <w:r w:rsidRPr="009D5E17">
              <w:rPr>
                <w:rFonts w:ascii="Arial" w:hAnsi="Arial" w:cs="Arial"/>
                <w:sz w:val="18"/>
              </w:rPr>
              <w:t>Autenticar credenciales.</w:t>
            </w:r>
          </w:p>
        </w:tc>
      </w:tr>
      <w:tr w:rsidR="009D5E17" w:rsidTr="009D5E17">
        <w:tblPrEx>
          <w:tblCellMar>
            <w:top w:w="0" w:type="dxa"/>
            <w:bottom w:w="0" w:type="dxa"/>
          </w:tblCellMar>
        </w:tblPrEx>
        <w:tc>
          <w:tcPr>
            <w:tcW w:w="2306" w:type="pct"/>
            <w:shd w:val="clear" w:color="auto" w:fill="auto"/>
            <w:vAlign w:val="center"/>
          </w:tcPr>
          <w:p w:rsidR="009D5E17" w:rsidRPr="009D5E17" w:rsidRDefault="009D5E17">
            <w:pPr>
              <w:rPr>
                <w:rFonts w:ascii="Arial" w:hAnsi="Arial" w:cs="Arial"/>
                <w:sz w:val="18"/>
              </w:rPr>
            </w:pPr>
            <w:r w:rsidRPr="009D5E17">
              <w:rPr>
                <w:rFonts w:ascii="Arial" w:hAnsi="Arial" w:cs="Arial"/>
                <w:sz w:val="18"/>
              </w:rPr>
              <w:t>GET /api/eureka/movimientos?cuenta={cuenta}</w:t>
            </w:r>
          </w:p>
        </w:tc>
        <w:tc>
          <w:tcPr>
            <w:tcW w:w="2694" w:type="pct"/>
            <w:shd w:val="clear" w:color="auto" w:fill="auto"/>
            <w:vAlign w:val="center"/>
          </w:tcPr>
          <w:p w:rsidR="009D5E17" w:rsidRPr="009D5E17" w:rsidRDefault="009D5E17">
            <w:pPr>
              <w:rPr>
                <w:rFonts w:ascii="Arial" w:hAnsi="Arial" w:cs="Arial"/>
                <w:sz w:val="18"/>
              </w:rPr>
            </w:pPr>
            <w:r w:rsidRPr="009D5E17">
              <w:rPr>
                <w:rFonts w:ascii="Arial" w:hAnsi="Arial" w:cs="Arial"/>
                <w:sz w:val="18"/>
              </w:rPr>
              <w:t>Consultar movimientos.</w:t>
            </w:r>
          </w:p>
        </w:tc>
      </w:tr>
      <w:tr w:rsidR="009D5E17" w:rsidTr="009D5E17">
        <w:tblPrEx>
          <w:tblCellMar>
            <w:top w:w="0" w:type="dxa"/>
            <w:bottom w:w="0" w:type="dxa"/>
          </w:tblCellMar>
        </w:tblPrEx>
        <w:tc>
          <w:tcPr>
            <w:tcW w:w="2306" w:type="pct"/>
            <w:shd w:val="clear" w:color="auto" w:fill="auto"/>
            <w:vAlign w:val="center"/>
          </w:tcPr>
          <w:p w:rsidR="009D5E17" w:rsidRPr="009D5E17" w:rsidRDefault="009D5E17">
            <w:pPr>
              <w:rPr>
                <w:rFonts w:ascii="Arial" w:hAnsi="Arial" w:cs="Arial"/>
                <w:sz w:val="18"/>
              </w:rPr>
            </w:pPr>
            <w:r w:rsidRPr="009D5E17">
              <w:rPr>
                <w:rFonts w:ascii="Arial" w:hAnsi="Arial" w:cs="Arial"/>
                <w:sz w:val="18"/>
              </w:rPr>
              <w:t>POST /api/eureka/depositos</w:t>
            </w:r>
          </w:p>
        </w:tc>
        <w:tc>
          <w:tcPr>
            <w:tcW w:w="2694" w:type="pct"/>
            <w:shd w:val="clear" w:color="auto" w:fill="auto"/>
            <w:vAlign w:val="center"/>
          </w:tcPr>
          <w:p w:rsidR="009D5E17" w:rsidRPr="009D5E17" w:rsidRDefault="009D5E17">
            <w:pPr>
              <w:rPr>
                <w:rFonts w:ascii="Arial" w:hAnsi="Arial" w:cs="Arial"/>
                <w:sz w:val="18"/>
              </w:rPr>
            </w:pPr>
            <w:r w:rsidRPr="009D5E17">
              <w:rPr>
                <w:rFonts w:ascii="Arial" w:hAnsi="Arial" w:cs="Arial"/>
                <w:sz w:val="18"/>
              </w:rPr>
              <w:t>Registrar depósito.</w:t>
            </w:r>
          </w:p>
        </w:tc>
      </w:tr>
      <w:tr w:rsidR="009D5E17" w:rsidTr="009D5E17">
        <w:tblPrEx>
          <w:tblCellMar>
            <w:top w:w="0" w:type="dxa"/>
            <w:bottom w:w="0" w:type="dxa"/>
          </w:tblCellMar>
        </w:tblPrEx>
        <w:tc>
          <w:tcPr>
            <w:tcW w:w="2306" w:type="pct"/>
            <w:shd w:val="clear" w:color="auto" w:fill="auto"/>
            <w:vAlign w:val="center"/>
          </w:tcPr>
          <w:p w:rsidR="009D5E17" w:rsidRPr="009D5E17" w:rsidRDefault="009D5E17">
            <w:pPr>
              <w:rPr>
                <w:rFonts w:ascii="Arial" w:hAnsi="Arial" w:cs="Arial"/>
                <w:sz w:val="18"/>
              </w:rPr>
            </w:pPr>
            <w:r w:rsidRPr="009D5E17">
              <w:rPr>
                <w:rFonts w:ascii="Arial" w:hAnsi="Arial" w:cs="Arial"/>
                <w:sz w:val="18"/>
              </w:rPr>
              <w:t>POST /api/eureka/transferencias</w:t>
            </w:r>
          </w:p>
        </w:tc>
        <w:tc>
          <w:tcPr>
            <w:tcW w:w="2694" w:type="pct"/>
            <w:shd w:val="clear" w:color="auto" w:fill="auto"/>
            <w:vAlign w:val="center"/>
          </w:tcPr>
          <w:p w:rsidR="009D5E17" w:rsidRPr="009D5E17" w:rsidRDefault="009D5E17">
            <w:pPr>
              <w:rPr>
                <w:rFonts w:ascii="Arial" w:hAnsi="Arial" w:cs="Arial"/>
                <w:sz w:val="18"/>
              </w:rPr>
            </w:pPr>
            <w:r w:rsidRPr="009D5E17">
              <w:rPr>
                <w:rFonts w:ascii="Arial" w:hAnsi="Arial" w:cs="Arial"/>
                <w:sz w:val="18"/>
              </w:rPr>
              <w:t>Transferir con token e idempotencia.</w:t>
            </w:r>
          </w:p>
        </w:tc>
      </w:tr>
      <w:tr w:rsidR="009D5E17" w:rsidTr="009D5E17">
        <w:tblPrEx>
          <w:tblCellMar>
            <w:top w:w="0" w:type="dxa"/>
            <w:bottom w:w="0" w:type="dxa"/>
          </w:tblCellMar>
        </w:tblPrEx>
        <w:tc>
          <w:tcPr>
            <w:tcW w:w="2306" w:type="pct"/>
            <w:shd w:val="clear" w:color="auto" w:fill="auto"/>
            <w:vAlign w:val="center"/>
          </w:tcPr>
          <w:p w:rsidR="009D5E17" w:rsidRPr="009D5E17" w:rsidRDefault="009D5E17">
            <w:pPr>
              <w:rPr>
                <w:rFonts w:ascii="Arial" w:hAnsi="Arial" w:cs="Arial"/>
                <w:sz w:val="18"/>
              </w:rPr>
            </w:pPr>
            <w:r w:rsidRPr="009D5E17">
              <w:rPr>
                <w:rFonts w:ascii="Arial" w:hAnsi="Arial" w:cs="Arial"/>
                <w:sz w:val="18"/>
              </w:rPr>
              <w:t>POST /api/eureka/logout</w:t>
            </w:r>
          </w:p>
        </w:tc>
        <w:tc>
          <w:tcPr>
            <w:tcW w:w="2694" w:type="pct"/>
            <w:shd w:val="clear" w:color="auto" w:fill="auto"/>
            <w:vAlign w:val="center"/>
          </w:tcPr>
          <w:p w:rsidR="009D5E17" w:rsidRPr="009D5E17" w:rsidRDefault="009D5E17">
            <w:pPr>
              <w:rPr>
                <w:rFonts w:ascii="Arial" w:hAnsi="Arial" w:cs="Arial"/>
                <w:sz w:val="18"/>
              </w:rPr>
            </w:pPr>
            <w:r w:rsidRPr="009D5E17">
              <w:rPr>
                <w:rFonts w:ascii="Arial" w:hAnsi="Arial" w:cs="Arial"/>
                <w:sz w:val="18"/>
              </w:rPr>
              <w:t>Revocar sesión.</w:t>
            </w:r>
          </w:p>
        </w:tc>
      </w:tr>
    </w:tbl>
    <w:p w:rsidR="009D5E17" w:rsidRDefault="009D5E17"/>
    <w:p w:rsidR="009D5E17" w:rsidRPr="009D5E17" w:rsidRDefault="009D5E17" w:rsidP="009D5E17">
      <w:pPr>
        <w:keepLines/>
        <w:spacing w:after="120"/>
        <w:rPr>
          <w:rFonts w:ascii="Arial" w:hAnsi="Arial" w:cs="Arial"/>
          <w:sz w:val="20"/>
        </w:rPr>
      </w:pPr>
      <w:r w:rsidRPr="009D5E17">
        <w:rPr>
          <w:rFonts w:ascii="Arial" w:hAnsi="Arial" w:cs="Arial"/>
          <w:sz w:val="20"/>
        </w:rPr>
        <w:t>Endpoint local: http://localhost:5081/api/eureka. Configuración del cliente: EUREKABANK_REST_DOTNET_URL. Para emulador o teléfono, defina una dirección alcanzable desde el dispositivo.</w:t>
      </w:r>
    </w:p>
    <w:p w:rsidR="009D5E17" w:rsidRPr="009D5E17" w:rsidRDefault="009D5E17" w:rsidP="009D5E17">
      <w:pPr>
        <w:pStyle w:val="Ttulo1"/>
        <w:spacing w:after="120"/>
        <w:rPr>
          <w:rFonts w:ascii="Arial" w:hAnsi="Arial" w:cs="Arial"/>
          <w:b/>
          <w:sz w:val="30"/>
        </w:rPr>
      </w:pPr>
      <w:r w:rsidRPr="009D5E17">
        <w:rPr>
          <w:rFonts w:ascii="Arial" w:hAnsi="Arial" w:cs="Arial"/>
          <w:b/>
          <w:sz w:val="30"/>
        </w:rPr>
        <w:t>4. Transferencias seguras</w:t>
      </w:r>
    </w:p>
    <w:p w:rsidR="009D5E17" w:rsidRPr="009D5E17" w:rsidRDefault="009D5E17" w:rsidP="009D5E17">
      <w:pPr>
        <w:keepLines/>
        <w:spacing w:after="120"/>
        <w:rPr>
          <w:rFonts w:ascii="Arial" w:hAnsi="Arial" w:cs="Arial"/>
          <w:sz w:val="20"/>
        </w:rPr>
      </w:pPr>
      <w:r w:rsidRPr="009D5E17">
        <w:rPr>
          <w:rFonts w:ascii="Arial" w:hAnsi="Arial" w:cs="Arial"/>
          <w:sz w:val="20"/>
        </w:rPr>
        <w:t>Destino propio o de terceros; origen de titularidad autenticada. Débito, crédito, movimientos y transferencia forman una unidad atómica.</w:t>
      </w:r>
    </w:p>
    <w:p w:rsidR="009D5E17" w:rsidRPr="009D5E17" w:rsidRDefault="009D5E17" w:rsidP="009D5E17">
      <w:pPr>
        <w:keepLines/>
        <w:spacing w:after="120"/>
        <w:rPr>
          <w:rFonts w:ascii="Arial" w:hAnsi="Arial" w:cs="Arial"/>
          <w:sz w:val="20"/>
        </w:rPr>
      </w:pPr>
      <w:r w:rsidRPr="009D5E17">
        <w:rPr>
          <w:rFonts w:ascii="Arial" w:hAnsi="Arial" w:cs="Arial"/>
          <w:sz w:val="20"/>
        </w:rPr>
        <w:t>• Validar cuentas distintas de ocho dígitos e importe positivo con hasta dos decimales.</w:t>
      </w:r>
    </w:p>
    <w:p w:rsidR="009D5E17" w:rsidRPr="009D5E17" w:rsidRDefault="009D5E17" w:rsidP="009D5E17">
      <w:pPr>
        <w:keepLines/>
        <w:spacing w:after="120"/>
        <w:rPr>
          <w:rFonts w:ascii="Arial" w:hAnsi="Arial" w:cs="Arial"/>
          <w:sz w:val="20"/>
        </w:rPr>
      </w:pPr>
      <w:r w:rsidRPr="009D5E17">
        <w:rPr>
          <w:rFonts w:ascii="Arial" w:hAnsi="Arial" w:cs="Arial"/>
          <w:sz w:val="20"/>
        </w:rPr>
        <w:t>• Verificar sesión, titularidad del origen, existencia, estado activo y moneda común.</w:t>
      </w:r>
    </w:p>
    <w:p w:rsidR="009D5E17" w:rsidRPr="009D5E17" w:rsidRDefault="009D5E17" w:rsidP="009D5E17">
      <w:pPr>
        <w:keepLines/>
        <w:spacing w:after="120"/>
        <w:rPr>
          <w:rFonts w:ascii="Arial" w:hAnsi="Arial" w:cs="Arial"/>
          <w:sz w:val="20"/>
        </w:rPr>
      </w:pPr>
      <w:r w:rsidRPr="009D5E17">
        <w:rPr>
          <w:rFonts w:ascii="Arial" w:hAnsi="Arial" w:cs="Arial"/>
          <w:sz w:val="20"/>
        </w:rPr>
        <w:t>• Bloquear cuentas en orden determinista y comprobar saldo disponible.</w:t>
      </w:r>
    </w:p>
    <w:p w:rsidR="009D5E17" w:rsidRPr="009D5E17" w:rsidRDefault="009D5E17" w:rsidP="009D5E17">
      <w:pPr>
        <w:keepLines/>
        <w:spacing w:after="120"/>
        <w:rPr>
          <w:rFonts w:ascii="Arial" w:hAnsi="Arial" w:cs="Arial"/>
          <w:sz w:val="20"/>
        </w:rPr>
      </w:pPr>
      <w:r w:rsidRPr="009D5E17">
        <w:rPr>
          <w:rFonts w:ascii="Arial" w:hAnsi="Arial" w:cs="Arial"/>
          <w:sz w:val="20"/>
        </w:rPr>
        <w:t>• Guardar transferencia, débito 009 SALIDA y crédito 008 INGRESO en una transacción.</w:t>
      </w:r>
    </w:p>
    <w:p w:rsidR="009D5E17" w:rsidRPr="009D5E17" w:rsidRDefault="009D5E17" w:rsidP="009D5E17">
      <w:pPr>
        <w:keepLines/>
        <w:spacing w:after="120"/>
        <w:rPr>
          <w:rFonts w:ascii="Arial" w:hAnsi="Arial" w:cs="Arial"/>
          <w:sz w:val="20"/>
        </w:rPr>
      </w:pPr>
      <w:r w:rsidRPr="009D5E17">
        <w:rPr>
          <w:rFonts w:ascii="Arial" w:hAnsi="Arial" w:cs="Arial"/>
          <w:sz w:val="20"/>
        </w:rPr>
        <w:t>• Revertir todos los cambios ante fallo. Reintentar con la misma clave idempotente.</w:t>
      </w:r>
    </w:p>
    <w:p w:rsidR="009D5E17" w:rsidRPr="009D5E17" w:rsidRDefault="009D5E17" w:rsidP="009D5E17">
      <w:pPr>
        <w:keepLines/>
        <w:spacing w:after="120"/>
        <w:rPr>
          <w:rFonts w:ascii="Arial" w:hAnsi="Arial" w:cs="Arial"/>
          <w:sz w:val="20"/>
        </w:rPr>
      </w:pPr>
      <w:r w:rsidRPr="009D5E17">
        <w:rPr>
          <w:rFonts w:ascii="Arial" w:hAnsi="Arial" w:cs="Arial"/>
          <w:sz w:val="20"/>
        </w:rPr>
        <w:t>Consultas parametrizadas reducen el riesgo de inyección. La misma clave con los mismos datos no duplica movimientos; la clave con datos distintos se rechaza.</w:t>
      </w:r>
    </w:p>
    <w:p w:rsidR="009D5E17" w:rsidRPr="009D5E17" w:rsidRDefault="009D5E17" w:rsidP="009D5E17">
      <w:pPr>
        <w:pStyle w:val="Ttulo1"/>
        <w:spacing w:after="120"/>
        <w:rPr>
          <w:rFonts w:ascii="Arial" w:hAnsi="Arial" w:cs="Arial"/>
          <w:b/>
          <w:sz w:val="30"/>
        </w:rPr>
      </w:pPr>
      <w:r w:rsidRPr="009D5E17">
        <w:rPr>
          <w:rFonts w:ascii="Arial" w:hAnsi="Arial" w:cs="Arial"/>
          <w:b/>
          <w:sz w:val="30"/>
        </w:rPr>
        <w:lastRenderedPageBreak/>
        <w:t>5. Persistencia y MER</w:t>
      </w:r>
    </w:p>
    <w:p w:rsidR="009D5E17" w:rsidRPr="009D5E17" w:rsidRDefault="009D5E17" w:rsidP="009D5E17">
      <w:pPr>
        <w:keepLines/>
        <w:spacing w:after="120"/>
        <w:rPr>
          <w:rFonts w:ascii="Arial" w:hAnsi="Arial" w:cs="Arial"/>
          <w:sz w:val="20"/>
        </w:rPr>
      </w:pPr>
      <w:r w:rsidRPr="009D5E17">
        <w:rPr>
          <w:rFonts w:ascii="Arial" w:hAnsi="Arial" w:cs="Arial"/>
          <w:sz w:val="20"/>
        </w:rPr>
        <w:t>El esquema tiene 19 entidades y 87 atributos. El MER conceptual muestra entidades y relaciones; el lógico detalla atributos y claves; el físico adapta tipos a SQL Server. Los modelos editables PowerDesigner acompañan las imágenes.</w:t>
      </w:r>
    </w:p>
    <w:p w:rsidR="009D5E17" w:rsidRPr="009D5E17" w:rsidRDefault="009D5E17" w:rsidP="009D5E17">
      <w:pPr>
        <w:keepLines/>
        <w:spacing w:after="120"/>
        <w:jc w:val="center"/>
        <w:rPr>
          <w:rFonts w:ascii="Arial" w:hAnsi="Arial" w:cs="Arial"/>
          <w:sz w:val="18"/>
        </w:rPr>
      </w:pPr>
      <w:r w:rsidRPr="009D5E17">
        <w:rPr>
          <w:rFonts w:ascii="Arial" w:hAnsi="Arial" w:cs="Arial"/>
          <w:sz w:val="18"/>
        </w:rPr>
        <w:t>Ilustración 1. MER conceptual: cuenta de origen y transferencia.</w:t>
      </w:r>
    </w:p>
    <w:p w:rsidR="009D5E17" w:rsidRDefault="009D5E17" w:rsidP="009D5E17">
      <w:pPr>
        <w:jc w:val="center"/>
      </w:pPr>
      <w:r>
        <w:rPr>
          <w:noProof/>
          <w:lang w:eastAsia="es-EC"/>
        </w:rPr>
        <w:drawing>
          <wp:inline distT="0" distB="0" distL="0" distR="0">
            <wp:extent cx="5715000" cy="3449758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49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5E17" w:rsidRPr="009D5E17" w:rsidRDefault="009D5E17" w:rsidP="009D5E17">
      <w:pPr>
        <w:keepLines/>
        <w:spacing w:after="120"/>
        <w:jc w:val="center"/>
        <w:rPr>
          <w:rFonts w:ascii="Arial" w:hAnsi="Arial" w:cs="Arial"/>
          <w:sz w:val="18"/>
        </w:rPr>
      </w:pPr>
      <w:r w:rsidRPr="009D5E17">
        <w:rPr>
          <w:rFonts w:ascii="Arial" w:hAnsi="Arial" w:cs="Arial"/>
          <w:sz w:val="18"/>
        </w:rPr>
        <w:t>Ilustración 2. MER lógico: cuenta de origen y transferencia.</w:t>
      </w:r>
    </w:p>
    <w:p w:rsidR="009D5E17" w:rsidRDefault="009D5E17" w:rsidP="009D5E17">
      <w:pPr>
        <w:jc w:val="center"/>
      </w:pPr>
      <w:r>
        <w:rPr>
          <w:noProof/>
          <w:lang w:eastAsia="es-EC"/>
        </w:rPr>
        <w:drawing>
          <wp:inline distT="0" distB="0" distL="0" distR="0">
            <wp:extent cx="5715000" cy="3393464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93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5E17" w:rsidRPr="009D5E17" w:rsidRDefault="009D5E17" w:rsidP="009D5E17">
      <w:pPr>
        <w:keepLines/>
        <w:spacing w:after="120"/>
        <w:jc w:val="center"/>
        <w:rPr>
          <w:rFonts w:ascii="Arial" w:hAnsi="Arial" w:cs="Arial"/>
          <w:sz w:val="18"/>
        </w:rPr>
      </w:pPr>
      <w:r w:rsidRPr="009D5E17">
        <w:rPr>
          <w:rFonts w:ascii="Arial" w:hAnsi="Arial" w:cs="Arial"/>
          <w:sz w:val="18"/>
        </w:rPr>
        <w:t>Ilustración 3. MER físico para SQL Server: cuenta de origen y transferencia.</w:t>
      </w:r>
    </w:p>
    <w:p w:rsidR="009D5E17" w:rsidRDefault="009D5E17" w:rsidP="009D5E17">
      <w:pPr>
        <w:jc w:val="center"/>
      </w:pPr>
      <w:r>
        <w:rPr>
          <w:noProof/>
          <w:lang w:eastAsia="es-EC"/>
        </w:rPr>
        <w:drawing>
          <wp:inline distT="0" distB="0" distL="0" distR="0">
            <wp:extent cx="5715000" cy="328029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8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5E17" w:rsidRPr="009D5E17" w:rsidRDefault="009D5E17" w:rsidP="009D5E17">
      <w:pPr>
        <w:pStyle w:val="Ttulo1"/>
        <w:spacing w:after="120"/>
        <w:rPr>
          <w:rFonts w:ascii="Arial" w:hAnsi="Arial" w:cs="Arial"/>
          <w:b/>
          <w:sz w:val="30"/>
        </w:rPr>
      </w:pPr>
      <w:r w:rsidRPr="009D5E17">
        <w:rPr>
          <w:rFonts w:ascii="Arial" w:hAnsi="Arial" w:cs="Arial"/>
          <w:b/>
          <w:sz w:val="30"/>
        </w:rPr>
        <w:t>6. Configuración y construcción</w:t>
      </w:r>
    </w:p>
    <w:p w:rsidR="009D5E17" w:rsidRPr="009D5E17" w:rsidRDefault="009D5E17" w:rsidP="009D5E17">
      <w:pPr>
        <w:keepLines/>
        <w:spacing w:after="120"/>
        <w:rPr>
          <w:rFonts w:ascii="Arial" w:hAnsi="Arial" w:cs="Arial"/>
          <w:sz w:val="20"/>
        </w:rPr>
      </w:pPr>
      <w:r w:rsidRPr="009D5E17">
        <w:rPr>
          <w:rFonts w:ascii="Arial" w:hAnsi="Arial" w:cs="Arial"/>
          <w:sz w:val="20"/>
        </w:rPr>
        <w:t>El servidor .NET se configura con EUREKABANK_DB_CONNECTION_STRING. Mantenga los valores reales en variables de entorno; nunca en código, capturas, registros o documentación.</w:t>
      </w:r>
    </w:p>
    <w:p w:rsidR="009D5E17" w:rsidRPr="009D5E17" w:rsidRDefault="009D5E17" w:rsidP="009D5E17">
      <w:pPr>
        <w:keepLines/>
        <w:spacing w:after="120"/>
        <w:rPr>
          <w:rFonts w:ascii="Arial" w:hAnsi="Arial" w:cs="Arial"/>
          <w:sz w:val="20"/>
        </w:rPr>
      </w:pPr>
      <w:r w:rsidRPr="009D5E17">
        <w:rPr>
          <w:rFonts w:ascii="Arial" w:hAnsi="Arial" w:cs="Arial"/>
          <w:sz w:val="20"/>
        </w:rPr>
        <w:t>Verifique .NET 10 y sus dependencias. Ejecute dotnet build y dotnet test desde la solución o módulo. Inicie el servicio y configure su endpoint antes de usar las interfaces.</w:t>
      </w:r>
    </w:p>
    <w:p w:rsidR="009D5E17" w:rsidRPr="009D5E17" w:rsidRDefault="009D5E17" w:rsidP="009D5E17">
      <w:pPr>
        <w:keepLines/>
        <w:spacing w:after="120"/>
        <w:rPr>
          <w:rFonts w:ascii="Arial" w:hAnsi="Arial" w:cs="Arial"/>
          <w:sz w:val="20"/>
        </w:rPr>
      </w:pPr>
      <w:r w:rsidRPr="009D5E17">
        <w:rPr>
          <w:rFonts w:ascii="Arial" w:hAnsi="Arial" w:cs="Arial"/>
          <w:sz w:val="20"/>
        </w:rPr>
        <w:t>Se requiere servicio activo, esquema creado y migraciones de transferencia aplicadas.</w:t>
      </w:r>
    </w:p>
    <w:p w:rsidR="009D5E17" w:rsidRPr="009D5E17" w:rsidRDefault="009D5E17" w:rsidP="009D5E17">
      <w:pPr>
        <w:pStyle w:val="Ttulo1"/>
        <w:spacing w:after="120"/>
        <w:rPr>
          <w:rFonts w:ascii="Arial" w:hAnsi="Arial" w:cs="Arial"/>
          <w:b/>
          <w:sz w:val="30"/>
        </w:rPr>
      </w:pPr>
      <w:r w:rsidRPr="009D5E17">
        <w:rPr>
          <w:rFonts w:ascii="Arial" w:hAnsi="Arial" w:cs="Arial"/>
          <w:b/>
          <w:sz w:val="30"/>
        </w:rPr>
        <w:t>7. Captura de interfaz</w:t>
      </w:r>
    </w:p>
    <w:p w:rsidR="009D5E17" w:rsidRPr="009D5E17" w:rsidRDefault="009D5E17" w:rsidP="009D5E17">
      <w:pPr>
        <w:keepLines/>
        <w:spacing w:after="120"/>
        <w:rPr>
          <w:rFonts w:ascii="Arial" w:hAnsi="Arial" w:cs="Arial"/>
          <w:sz w:val="20"/>
        </w:rPr>
      </w:pPr>
      <w:r w:rsidRPr="009D5E17">
        <w:rPr>
          <w:rFonts w:ascii="Arial" w:hAnsi="Arial" w:cs="Arial"/>
          <w:sz w:val="20"/>
        </w:rPr>
        <w:t>Captura real del formulario de inicio de sesión con campos vacíos. No representa autenticación contra un servicio activo.</w:t>
      </w:r>
    </w:p>
    <w:p w:rsidR="009D5E17" w:rsidRDefault="009D5E17" w:rsidP="009D5E17">
      <w:pPr>
        <w:jc w:val="center"/>
      </w:pPr>
      <w:r>
        <w:rPr>
          <w:noProof/>
          <w:lang w:eastAsia="es-EC"/>
        </w:rPr>
        <w:drawing>
          <wp:inline distT="0" distB="0" distL="0" distR="0">
            <wp:extent cx="5588000" cy="4718781"/>
            <wp:effectExtent l="0" t="0" r="0" b="571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4718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5E17" w:rsidRPr="009D5E17" w:rsidRDefault="009D5E17" w:rsidP="009D5E17">
      <w:pPr>
        <w:pStyle w:val="Ttulo1"/>
        <w:spacing w:after="120"/>
        <w:rPr>
          <w:rFonts w:ascii="Arial" w:hAnsi="Arial" w:cs="Arial"/>
          <w:b/>
          <w:sz w:val="30"/>
        </w:rPr>
      </w:pPr>
      <w:r w:rsidRPr="009D5E17">
        <w:rPr>
          <w:rFonts w:ascii="Arial" w:hAnsi="Arial" w:cs="Arial"/>
          <w:b/>
          <w:sz w:val="30"/>
        </w:rPr>
        <w:t>8. Diagnóstico</w:t>
      </w:r>
    </w:p>
    <w:tbl>
      <w:tblPr>
        <w:tblW w:w="489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99"/>
        <w:gridCol w:w="6540"/>
      </w:tblGrid>
      <w:tr w:rsidR="009D5E17" w:rsidTr="009D5E1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72" w:type="pct"/>
            <w:shd w:val="clear" w:color="auto" w:fill="E6E6E6"/>
            <w:vAlign w:val="center"/>
          </w:tcPr>
          <w:p w:rsidR="009D5E17" w:rsidRPr="009D5E17" w:rsidRDefault="009D5E17" w:rsidP="009D5E17">
            <w:pPr>
              <w:jc w:val="center"/>
              <w:rPr>
                <w:rFonts w:ascii="Arial" w:hAnsi="Arial" w:cs="Arial"/>
                <w:b/>
                <w:sz w:val="18"/>
              </w:rPr>
            </w:pPr>
            <w:r w:rsidRPr="009D5E17">
              <w:rPr>
                <w:rFonts w:ascii="Arial" w:hAnsi="Arial" w:cs="Arial"/>
                <w:b/>
                <w:sz w:val="18"/>
              </w:rPr>
              <w:t>Síntoma</w:t>
            </w:r>
          </w:p>
        </w:tc>
        <w:tc>
          <w:tcPr>
            <w:tcW w:w="3428" w:type="pct"/>
            <w:shd w:val="clear" w:color="auto" w:fill="E6E6E6"/>
            <w:vAlign w:val="center"/>
          </w:tcPr>
          <w:p w:rsidR="009D5E17" w:rsidRPr="009D5E17" w:rsidRDefault="009D5E17" w:rsidP="009D5E17">
            <w:pPr>
              <w:jc w:val="center"/>
              <w:rPr>
                <w:rFonts w:ascii="Arial" w:hAnsi="Arial" w:cs="Arial"/>
                <w:b/>
                <w:sz w:val="18"/>
              </w:rPr>
            </w:pPr>
            <w:r w:rsidRPr="009D5E17">
              <w:rPr>
                <w:rFonts w:ascii="Arial" w:hAnsi="Arial" w:cs="Arial"/>
                <w:b/>
                <w:sz w:val="18"/>
              </w:rPr>
              <w:t>Verificación</w:t>
            </w:r>
          </w:p>
        </w:tc>
      </w:tr>
      <w:tr w:rsidR="009D5E17" w:rsidTr="009D5E17">
        <w:tblPrEx>
          <w:tblCellMar>
            <w:top w:w="0" w:type="dxa"/>
            <w:bottom w:w="0" w:type="dxa"/>
          </w:tblCellMar>
        </w:tblPrEx>
        <w:tc>
          <w:tcPr>
            <w:tcW w:w="1572" w:type="pct"/>
            <w:shd w:val="clear" w:color="auto" w:fill="auto"/>
            <w:vAlign w:val="center"/>
          </w:tcPr>
          <w:p w:rsidR="009D5E17" w:rsidRPr="009D5E17" w:rsidRDefault="009D5E17" w:rsidP="009D5E17">
            <w:pPr>
              <w:jc w:val="center"/>
              <w:rPr>
                <w:rFonts w:ascii="Arial" w:hAnsi="Arial" w:cs="Arial"/>
                <w:sz w:val="18"/>
              </w:rPr>
            </w:pPr>
            <w:r w:rsidRPr="009D5E17">
              <w:rPr>
                <w:rFonts w:ascii="Arial" w:hAnsi="Arial" w:cs="Arial"/>
                <w:sz w:val="18"/>
              </w:rPr>
              <w:t>Conexión rechazada</w:t>
            </w:r>
          </w:p>
        </w:tc>
        <w:tc>
          <w:tcPr>
            <w:tcW w:w="3428" w:type="pct"/>
            <w:shd w:val="clear" w:color="auto" w:fill="auto"/>
            <w:vAlign w:val="center"/>
          </w:tcPr>
          <w:p w:rsidR="009D5E17" w:rsidRPr="009D5E17" w:rsidRDefault="009D5E17" w:rsidP="009D5E17">
            <w:pPr>
              <w:jc w:val="center"/>
              <w:rPr>
                <w:rFonts w:ascii="Arial" w:hAnsi="Arial" w:cs="Arial"/>
                <w:sz w:val="18"/>
              </w:rPr>
            </w:pPr>
            <w:r w:rsidRPr="009D5E17">
              <w:rPr>
                <w:rFonts w:ascii="Arial" w:hAnsi="Arial" w:cs="Arial"/>
                <w:sz w:val="18"/>
              </w:rPr>
              <w:t>Compruebe servicio activo, endpoint configurado y puerto accesible.</w:t>
            </w:r>
          </w:p>
        </w:tc>
      </w:tr>
      <w:tr w:rsidR="009D5E17" w:rsidTr="009D5E17">
        <w:tblPrEx>
          <w:tblCellMar>
            <w:top w:w="0" w:type="dxa"/>
            <w:bottom w:w="0" w:type="dxa"/>
          </w:tblCellMar>
        </w:tblPrEx>
        <w:tc>
          <w:tcPr>
            <w:tcW w:w="1572" w:type="pct"/>
            <w:shd w:val="clear" w:color="auto" w:fill="auto"/>
            <w:vAlign w:val="center"/>
          </w:tcPr>
          <w:p w:rsidR="009D5E17" w:rsidRPr="009D5E17" w:rsidRDefault="009D5E17" w:rsidP="009D5E17">
            <w:pPr>
              <w:jc w:val="center"/>
              <w:rPr>
                <w:rFonts w:ascii="Arial" w:hAnsi="Arial" w:cs="Arial"/>
                <w:sz w:val="18"/>
              </w:rPr>
            </w:pPr>
            <w:r w:rsidRPr="009D5E17">
              <w:rPr>
                <w:rFonts w:ascii="Arial" w:hAnsi="Arial" w:cs="Arial"/>
                <w:sz w:val="18"/>
              </w:rPr>
              <w:t>Autenticación rechazada</w:t>
            </w:r>
          </w:p>
        </w:tc>
        <w:tc>
          <w:tcPr>
            <w:tcW w:w="3428" w:type="pct"/>
            <w:shd w:val="clear" w:color="auto" w:fill="auto"/>
            <w:vAlign w:val="center"/>
          </w:tcPr>
          <w:p w:rsidR="009D5E17" w:rsidRPr="009D5E17" w:rsidRDefault="009D5E17" w:rsidP="009D5E17">
            <w:pPr>
              <w:jc w:val="center"/>
              <w:rPr>
                <w:rFonts w:ascii="Arial" w:hAnsi="Arial" w:cs="Arial"/>
                <w:sz w:val="18"/>
              </w:rPr>
            </w:pPr>
            <w:r w:rsidRPr="009D5E17">
              <w:rPr>
                <w:rFonts w:ascii="Arial" w:hAnsi="Arial" w:cs="Arial"/>
                <w:sz w:val="18"/>
              </w:rPr>
              <w:t>Revise credenciales, estado y disponibilidad del repositorio.</w:t>
            </w:r>
          </w:p>
        </w:tc>
      </w:tr>
      <w:tr w:rsidR="009D5E17" w:rsidTr="009D5E17">
        <w:tblPrEx>
          <w:tblCellMar>
            <w:top w:w="0" w:type="dxa"/>
            <w:bottom w:w="0" w:type="dxa"/>
          </w:tblCellMar>
        </w:tblPrEx>
        <w:tc>
          <w:tcPr>
            <w:tcW w:w="1572" w:type="pct"/>
            <w:shd w:val="clear" w:color="auto" w:fill="auto"/>
            <w:vAlign w:val="center"/>
          </w:tcPr>
          <w:p w:rsidR="009D5E17" w:rsidRPr="009D5E17" w:rsidRDefault="009D5E17" w:rsidP="009D5E17">
            <w:pPr>
              <w:jc w:val="center"/>
              <w:rPr>
                <w:rFonts w:ascii="Arial" w:hAnsi="Arial" w:cs="Arial"/>
                <w:sz w:val="18"/>
              </w:rPr>
            </w:pPr>
            <w:r w:rsidRPr="009D5E17">
              <w:rPr>
                <w:rFonts w:ascii="Arial" w:hAnsi="Arial" w:cs="Arial"/>
                <w:sz w:val="18"/>
              </w:rPr>
              <w:t>Transferencia rechazada</w:t>
            </w:r>
          </w:p>
        </w:tc>
        <w:tc>
          <w:tcPr>
            <w:tcW w:w="3428" w:type="pct"/>
            <w:shd w:val="clear" w:color="auto" w:fill="auto"/>
            <w:vAlign w:val="center"/>
          </w:tcPr>
          <w:p w:rsidR="009D5E17" w:rsidRPr="009D5E17" w:rsidRDefault="009D5E17" w:rsidP="009D5E17">
            <w:pPr>
              <w:jc w:val="center"/>
              <w:rPr>
                <w:rFonts w:ascii="Arial" w:hAnsi="Arial" w:cs="Arial"/>
                <w:sz w:val="18"/>
              </w:rPr>
            </w:pPr>
            <w:r w:rsidRPr="009D5E17">
              <w:rPr>
                <w:rFonts w:ascii="Arial" w:hAnsi="Arial" w:cs="Arial"/>
                <w:sz w:val="18"/>
              </w:rPr>
              <w:t>Revise sesión, titularidad, estado, moneda, saldo e importe.</w:t>
            </w:r>
          </w:p>
        </w:tc>
      </w:tr>
      <w:tr w:rsidR="009D5E17" w:rsidTr="009D5E17">
        <w:tblPrEx>
          <w:tblCellMar>
            <w:top w:w="0" w:type="dxa"/>
            <w:bottom w:w="0" w:type="dxa"/>
          </w:tblCellMar>
        </w:tblPrEx>
        <w:tc>
          <w:tcPr>
            <w:tcW w:w="1572" w:type="pct"/>
            <w:shd w:val="clear" w:color="auto" w:fill="auto"/>
            <w:vAlign w:val="center"/>
          </w:tcPr>
          <w:p w:rsidR="009D5E17" w:rsidRPr="009D5E17" w:rsidRDefault="009D5E17" w:rsidP="009D5E17">
            <w:pPr>
              <w:jc w:val="center"/>
              <w:rPr>
                <w:rFonts w:ascii="Arial" w:hAnsi="Arial" w:cs="Arial"/>
                <w:sz w:val="18"/>
              </w:rPr>
            </w:pPr>
            <w:r w:rsidRPr="009D5E17">
              <w:rPr>
                <w:rFonts w:ascii="Arial" w:hAnsi="Arial" w:cs="Arial"/>
                <w:sz w:val="18"/>
              </w:rPr>
              <w:t>Respuesta incierta</w:t>
            </w:r>
          </w:p>
        </w:tc>
        <w:tc>
          <w:tcPr>
            <w:tcW w:w="3428" w:type="pct"/>
            <w:shd w:val="clear" w:color="auto" w:fill="auto"/>
            <w:vAlign w:val="center"/>
          </w:tcPr>
          <w:p w:rsidR="009D5E17" w:rsidRPr="009D5E17" w:rsidRDefault="009D5E17" w:rsidP="009D5E17">
            <w:pPr>
              <w:jc w:val="center"/>
              <w:rPr>
                <w:rFonts w:ascii="Arial" w:hAnsi="Arial" w:cs="Arial"/>
                <w:sz w:val="18"/>
              </w:rPr>
            </w:pPr>
            <w:r w:rsidRPr="009D5E17">
              <w:rPr>
                <w:rFonts w:ascii="Arial" w:hAnsi="Arial" w:cs="Arial"/>
                <w:sz w:val="18"/>
              </w:rPr>
              <w:t>Consulte resultado antes de repetir; use la misma clave idempotente.</w:t>
            </w:r>
          </w:p>
        </w:tc>
      </w:tr>
      <w:tr w:rsidR="009D5E17" w:rsidTr="009D5E17">
        <w:tblPrEx>
          <w:tblCellMar>
            <w:top w:w="0" w:type="dxa"/>
            <w:bottom w:w="0" w:type="dxa"/>
          </w:tblCellMar>
        </w:tblPrEx>
        <w:tc>
          <w:tcPr>
            <w:tcW w:w="1572" w:type="pct"/>
            <w:shd w:val="clear" w:color="auto" w:fill="auto"/>
            <w:vAlign w:val="center"/>
          </w:tcPr>
          <w:p w:rsidR="009D5E17" w:rsidRPr="009D5E17" w:rsidRDefault="009D5E17" w:rsidP="009D5E17">
            <w:pPr>
              <w:jc w:val="center"/>
              <w:rPr>
                <w:rFonts w:ascii="Arial" w:hAnsi="Arial" w:cs="Arial"/>
                <w:sz w:val="18"/>
              </w:rPr>
            </w:pPr>
            <w:r w:rsidRPr="009D5E17">
              <w:rPr>
                <w:rFonts w:ascii="Arial" w:hAnsi="Arial" w:cs="Arial"/>
                <w:sz w:val="18"/>
              </w:rPr>
              <w:t>Error de base de datos</w:t>
            </w:r>
          </w:p>
        </w:tc>
        <w:tc>
          <w:tcPr>
            <w:tcW w:w="3428" w:type="pct"/>
            <w:shd w:val="clear" w:color="auto" w:fill="auto"/>
            <w:vAlign w:val="center"/>
          </w:tcPr>
          <w:p w:rsidR="009D5E17" w:rsidRPr="009D5E17" w:rsidRDefault="009D5E17" w:rsidP="009D5E17">
            <w:pPr>
              <w:jc w:val="center"/>
              <w:rPr>
                <w:rFonts w:ascii="Arial" w:hAnsi="Arial" w:cs="Arial"/>
                <w:sz w:val="18"/>
              </w:rPr>
            </w:pPr>
            <w:r w:rsidRPr="009D5E17">
              <w:rPr>
                <w:rFonts w:ascii="Arial" w:hAnsi="Arial" w:cs="Arial"/>
                <w:sz w:val="18"/>
              </w:rPr>
              <w:t>Revise configuración, esquema, permisos y migraciones; no muestre secretos.</w:t>
            </w:r>
          </w:p>
        </w:tc>
      </w:tr>
    </w:tbl>
    <w:p w:rsidR="009D5E17" w:rsidRDefault="009D5E17" w:rsidP="009D5E17">
      <w:pPr>
        <w:jc w:val="center"/>
      </w:pPr>
    </w:p>
    <w:p w:rsidR="009D5E17" w:rsidRPr="009D5E17" w:rsidRDefault="009D5E17" w:rsidP="009D5E17">
      <w:pPr>
        <w:keepLines/>
        <w:spacing w:after="120"/>
        <w:rPr>
          <w:rFonts w:ascii="Arial" w:hAnsi="Arial" w:cs="Arial"/>
          <w:sz w:val="20"/>
        </w:rPr>
      </w:pPr>
      <w:r w:rsidRPr="009D5E17">
        <w:rPr>
          <w:rFonts w:ascii="Arial" w:hAnsi="Arial" w:cs="Arial"/>
          <w:sz w:val="20"/>
        </w:rPr>
        <w:t>No registre contraseñas, tokens completos ni cadenas de conexión. Registre hora, código de respuesta e identificador de correlación.</w:t>
      </w:r>
    </w:p>
    <w:p w:rsidR="00B65F66" w:rsidRDefault="00B65F66" w:rsidP="009D5E17">
      <w:pPr>
        <w:jc w:val="center"/>
      </w:pPr>
    </w:p>
    <w:sectPr w:rsidR="00B65F66" w:rsidSect="009D5E1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120" w:right="1080" w:bottom="10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D5E17" w:rsidRDefault="009D5E17" w:rsidP="009D5E17">
      <w:pPr>
        <w:spacing w:after="0" w:line="240" w:lineRule="auto"/>
      </w:pPr>
      <w:r>
        <w:separator/>
      </w:r>
    </w:p>
  </w:endnote>
  <w:endnote w:type="continuationSeparator" w:id="0">
    <w:p w:rsidR="009D5E17" w:rsidRDefault="009D5E17" w:rsidP="009D5E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D5E17" w:rsidRDefault="009D5E17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D5E17" w:rsidRPr="009D5E17" w:rsidRDefault="009D5E17" w:rsidP="009D5E17">
    <w:pPr>
      <w:pStyle w:val="Piedepgina"/>
      <w:jc w:val="right"/>
      <w:rPr>
        <w:rFonts w:ascii="Arial" w:hAnsi="Arial" w:cs="Arial"/>
        <w:sz w:val="16"/>
      </w:rPr>
    </w:pPr>
    <w:r w:rsidRPr="009D5E17">
      <w:rPr>
        <w:rFonts w:ascii="Arial" w:hAnsi="Arial" w:cs="Arial"/>
        <w:sz w:val="16"/>
      </w:rPr>
      <w:t>EUREKABANK  |  GRUPO 09  |  NRC 36884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D5E17" w:rsidRDefault="009D5E17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D5E17" w:rsidRDefault="009D5E17" w:rsidP="009D5E17">
      <w:pPr>
        <w:spacing w:after="0" w:line="240" w:lineRule="auto"/>
      </w:pPr>
      <w:r>
        <w:separator/>
      </w:r>
    </w:p>
  </w:footnote>
  <w:footnote w:type="continuationSeparator" w:id="0">
    <w:p w:rsidR="009D5E17" w:rsidRDefault="009D5E17" w:rsidP="009D5E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D5E17" w:rsidRDefault="009D5E17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D5E17" w:rsidRDefault="009D5E17">
    <w:pPr>
      <w:pStyle w:val="Encabezado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D5E17" w:rsidRDefault="009D5E17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5E17"/>
    <w:rsid w:val="009D5E17"/>
    <w:rsid w:val="00B65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27947EFB-0396-4B96-95D8-31B890953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D5E1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D5E1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D5E17"/>
  </w:style>
  <w:style w:type="paragraph" w:styleId="Piedepgina">
    <w:name w:val="footer"/>
    <w:basedOn w:val="Normal"/>
    <w:link w:val="PiedepginaCar"/>
    <w:uiPriority w:val="99"/>
    <w:unhideWhenUsed/>
    <w:rsid w:val="009D5E1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D5E17"/>
  </w:style>
  <w:style w:type="paragraph" w:styleId="Puesto">
    <w:name w:val="Title"/>
    <w:basedOn w:val="Normal"/>
    <w:next w:val="Normal"/>
    <w:link w:val="PuestoCar"/>
    <w:uiPriority w:val="10"/>
    <w:qFormat/>
    <w:rsid w:val="009D5E1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9D5E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Ttulo1"/>
    <w:uiPriority w:val="9"/>
    <w:rsid w:val="009D5E1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563</Words>
  <Characters>3641</Characters>
  <Application>Microsoft Office Word</Application>
  <DocSecurity>0</DocSecurity>
  <Lines>98</Lines>
  <Paragraphs>73</Paragraphs>
  <ScaleCrop>false</ScaleCrop>
  <Company/>
  <LinksUpToDate>false</LinksUpToDate>
  <CharactersWithSpaces>4136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usuario01</dc:creator>
  <cp:keywords/>
  <dc:description/>
  <cp:lastModifiedBy>usuario01</cp:lastModifiedBy>
  <cp:revision>1</cp:revision>
  <dcterms:created xsi:type="dcterms:W3CDTF">2026-10-22T19:54:00Z</dcterms:created>
  <dcterms:modified xsi:type="dcterms:W3CDTF">2026-10-22T19:54:00Z</dcterms:modified>
</cp:coreProperties>
</file>