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Error Analysis — Demo Video Test Results</w:t>
      </w:r>
    </w:p>
    <w:p>
      <w:pPr>
        <w:spacing w:after="200"/>
        <w:jc w:val="both"/>
      </w:pPr>
      <w:r>
        <w:rPr>
          <w:rFonts w:ascii="Times New Roman" w:cs="Times New Roman" w:eastAsia="Times New Roman" w:hAnsi="Times New Roman"/>
          <w:sz w:val="24"/>
          <w:szCs w:val="24"/>
        </w:rPr>
        <w:t xml:space="preserve">The trained MobileNetV2 + BiLSTM model was evaluated on 170 demo surveillance videos labeled by filename (fighting, vandalism, normal). The following table summarizes the distribution of correct and incorrect predictions.</w:t>
      </w:r>
    </w:p>
    <w:p>
      <w:pPr>
        <w:spacing w:after="120" w:before="200"/>
      </w:pPr>
      <w:r>
        <w:rPr>
          <w:rFonts w:ascii="Times New Roman" w:cs="Times New Roman" w:eastAsia="Times New Roman" w:hAnsi="Times New Roman"/>
          <w:b/>
          <w:bCs/>
          <w:sz w:val="24"/>
          <w:szCs w:val="24"/>
        </w:rPr>
        <w:t xml:space="preserve">Table 1. Overall Prediction Results on Demo Videos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Metric</w:t>
            </w:r>
          </w:p>
        </w:tc>
        <w:tc>
          <w:tcPr>
            <w:tcW w:type="dxa" w:w="22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Count</w:t>
            </w:r>
          </w:p>
        </w:tc>
        <w:tc>
          <w:tcPr>
            <w:tcW w:type="dxa" w:w="22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Out of Total</w:t>
            </w:r>
          </w:p>
        </w:tc>
        <w:tc>
          <w:tcPr>
            <w:tcW w:type="dxa" w:w="22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Rate</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Total Videos</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170</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170</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100%</w:t>
            </w:r>
          </w:p>
        </w:tc>
      </w:tr>
      <w:tr>
        <w:tc>
          <w:tcPr>
            <w:tcW w:type="dxa" w:w="22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Correct Predictions</w:t>
            </w:r>
          </w:p>
        </w:tc>
        <w:tc>
          <w:tcPr>
            <w:tcW w:type="dxa" w:w="22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93</w:t>
            </w:r>
          </w:p>
        </w:tc>
        <w:tc>
          <w:tcPr>
            <w:tcW w:type="dxa" w:w="22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170</w:t>
            </w:r>
          </w:p>
        </w:tc>
        <w:tc>
          <w:tcPr>
            <w:tcW w:type="dxa" w:w="22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54.71%</w:t>
            </w:r>
          </w:p>
        </w:tc>
      </w:tr>
      <w:t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Incorrect Predictions</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77</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170</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45.29%</w:t>
            </w:r>
          </w:p>
        </w:tc>
      </w:tr>
    </w:tbl>
    <w:p>
      <w:pPr>
        <w:spacing w:after="120" w:before="400"/>
      </w:pPr>
      <w:r>
        <w:rPr>
          <w:rFonts w:ascii="Times New Roman" w:cs="Times New Roman" w:eastAsia="Times New Roman" w:hAnsi="Times New Roman"/>
          <w:b/>
          <w:bCs/>
          <w:sz w:val="24"/>
          <w:szCs w:val="24"/>
        </w:rPr>
        <w:t xml:space="preserve">Table 2. Error Category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Error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Count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 of Errors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Security 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Fighting ↔ Vandalism confusion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67.5%</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Low — alarm triggered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Suspicious → Normal (missed alarm)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26.0%</w:t>
            </w:r>
          </w:p>
        </w:tc>
        <w:tc>
          <w:tcPr>
            <w:tcW w:type="dxa" w:w="24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 — no alert generated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Normal → Suspicious (false alarm)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6.5%</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Very Low — rare</w:t>
            </w:r>
          </w:p>
        </w:tc>
      </w:tr>
    </w:tbl>
    <w:p>
      <w:pPr>
        <w:spacing w:after="120" w:before="400"/>
      </w:pPr>
      <w:r>
        <w:rPr>
          <w:rFonts w:ascii="Times New Roman" w:cs="Times New Roman" w:eastAsia="Times New Roman" w:hAnsi="Times New Roman"/>
          <w:b/>
          <w:bCs/>
          <w:sz w:val="26"/>
          <w:szCs w:val="26"/>
        </w:rPr>
        <w:t xml:space="preserve">Discussion</w:t>
      </w:r>
    </w:p>
    <w:p>
      <w:pPr>
        <w:spacing w:after="160" w:line="360"/>
        <w:jc w:val="both"/>
      </w:pPr>
      <w:r>
        <w:rPr>
          <w:rFonts w:ascii="Times New Roman" w:cs="Times New Roman" w:eastAsia="Times New Roman" w:hAnsi="Times New Roman"/>
          <w:sz w:val="24"/>
          <w:szCs w:val="24"/>
        </w:rPr>
        <w:t xml:space="preserve">The error analysis reveals that the model's primary strength lies in distinguishing suspicious activity from normal behavior. Out of 170 demo videos, only 5 normal videos were incorrectly flagged as suspicious (false alarm rate: 2.9%), which is a strong result for a real-world surveillance system where minimizing unnecessary alerts is critical.</w:t>
      </w:r>
    </w:p>
    <w:p>
      <w:pPr>
        <w:spacing w:after="160" w:line="360"/>
        <w:jc w:val="both"/>
      </w:pPr>
      <w:r>
        <w:rPr>
          <w:rFonts w:ascii="Times New Roman" w:cs="Times New Roman" w:eastAsia="Times New Roman" w:hAnsi="Times New Roman"/>
          <w:sz w:val="24"/>
          <w:szCs w:val="24"/>
        </w:rPr>
        <w:t xml:space="preserve">The dominant error pattern (67.5% of all errors) is confusion between the Fighting and Vandalism classes. From a security perspective, this is a lower-severity issue: the model still raises an alert for both classes, so security personnel are notified regardless. The distinction between these two categories is inherently difficult, as both involve rapid motion, physical contact or object interaction, and chaotic scene dynamics — visual characteristics that are difficult to separate at 64×64 pixel resolution.</w:t>
      </w:r>
    </w:p>
    <w:p>
      <w:pPr>
        <w:spacing w:after="160" w:line="360"/>
        <w:jc w:val="both"/>
      </w:pPr>
      <w:r>
        <w:rPr>
          <w:rFonts w:ascii="Times New Roman" w:cs="Times New Roman" w:eastAsia="Times New Roman" w:hAnsi="Times New Roman"/>
          <w:sz w:val="24"/>
          <w:szCs w:val="24"/>
        </w:rPr>
        <w:t xml:space="preserve">The missed-alarm category (20 cases, 11.8% of total videos) represents the most security-critical failure mode. These cases predominantly involve low-intensity vandalism or ambiguous fighting footage where the suspicious activity is subtle. Future work could address this through higher input resolution, optical flow features, or skeleton-based pose estimation to better capture motion cues.</w:t>
      </w:r>
    </w:p>
    <w:p>
      <w:pPr>
        <w:spacing w:after="160" w:line="360"/>
        <w:jc w:val="both"/>
      </w:pPr>
      <w:r>
        <w:rPr>
          <w:rFonts w:ascii="Times New Roman" w:cs="Times New Roman" w:eastAsia="Times New Roman" w:hAnsi="Times New Roman"/>
          <w:sz w:val="24"/>
          <w:szCs w:val="24"/>
        </w:rPr>
        <w:t xml:space="preserve">It should also be noted that these demo videos were not part of the model's training or validation sets, making this an independent real-world evaluation. The 83.08% accuracy reported during training-time evaluation remains the primary benchmark, while the demo video results provide additional insight into the model's behavior on unseen footage.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2026-05-16T13:17:48.722Z</dcterms:created>
  <dcterms:modified xsi:type="dcterms:W3CDTF">2026-05-16T13:17:48.742Z</dcterms:modified>
</cp:coreProperties>
</file>

<file path=docProps/custom.xml><?xml version="1.0" encoding="utf-8"?>
<Properties xmlns="http://schemas.openxmlformats.org/officeDocument/2006/custom-properties" xmlns:vt="http://schemas.openxmlformats.org/officeDocument/2006/docPropsVTypes"/>
</file>