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0A87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CSAI415 D1: AutoML and Online Learning for Paper RAG</w:t>
      </w:r>
    </w:p>
    <w:p w14:paraId="3134DFF2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Team: Gamze Okmen + 2 members | Track A: Supervised Auto-tuned kNN Retriever | May 17, 2026</w:t>
      </w:r>
    </w:p>
    <w:p w14:paraId="548006FA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Executive Summary</w:t>
      </w:r>
    </w:p>
    <w:p w14:paraId="4E988A46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We built a hybrid retrieval pipeline over 10 arXiv papers (Qdrant for dense embeddings, BM25 for sparse), then automated two layers of optimization. An Optuna TPE search over five retriever hyperparameters with a latency-aware objective and a 70/30 train/test split identified an optimal configuration achieving NDCG@5 = 1.000 on held-out test queries at p95 latency of 423.7 ms (well under the 2,000 ms rubric ceiling). A second component using River GaussianNB with ADWIN drift detection demonstrated correct prequential adaptation: ADWIN successfully detected an abrupt concept drift at sample 72, and the adaptive learner outperformed a frozen static baseline by +131.1 % on the post-drift segment (rubric target: &gt; +5 %). All three rubric baseline targets are exceeded.</w:t>
      </w:r>
    </w:p>
    <w:p w14:paraId="4CFD7705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System Overview</w:t>
      </w:r>
    </w:p>
    <w:p w14:paraId="32CBE19F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Corpus.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10 papers fetched from arXiv (cs.CL, cs.IR, cs.CR) on retrieval-augmented generation and dense retrieval. Parsed with PyMuPDF into 2,118 sliding-window chunks (500-char windows, 80-char overlap; mean 461 chars). Encoded with </w:t>
      </w: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BAAI/bge-small-en-v1.5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to 384-dim vectors. Indexed in </w:t>
      </w: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Qdrant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(in-memory) and </w:t>
      </w: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BM25Okapi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. Metadata stored in mongomock and exported as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corpus_metadata.csv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29B4C54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Retrieval.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Hybrid fusion: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score = α · dense_score + (1 − α) · BM25_normalized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. BM25 scores are normalized per query so both signals contribute on the same scale.</w:t>
      </w:r>
    </w:p>
    <w:p w14:paraId="2ACC1BDE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Evaluation.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10 manually-crafted gold queries (one per paper). Metrics: Recall@5 and NDCG@5 (1 / log₂(rank + 1)).</w:t>
      </w:r>
    </w:p>
    <w:p w14:paraId="7355D5F5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Baseline (α = 0.5, k = 5)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136"/>
      </w:tblGrid>
      <w:tr w:rsidR="00C836BD" w:rsidRPr="00C836BD" w14:paraId="46D127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FE0EB1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3866B5A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</w:t>
            </w:r>
          </w:p>
        </w:tc>
      </w:tr>
      <w:tr w:rsidR="00C836BD" w:rsidRPr="00C836BD" w14:paraId="46AA1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052E2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Recall@5</w:t>
            </w:r>
          </w:p>
        </w:tc>
        <w:tc>
          <w:tcPr>
            <w:tcW w:w="0" w:type="auto"/>
            <w:vAlign w:val="center"/>
            <w:hideMark/>
          </w:tcPr>
          <w:p w14:paraId="18D88D1C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1.000</w:t>
            </w:r>
          </w:p>
        </w:tc>
      </w:tr>
      <w:tr w:rsidR="00C836BD" w:rsidRPr="00C836BD" w14:paraId="2F9BB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21CF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NDCG@5</w:t>
            </w:r>
          </w:p>
        </w:tc>
        <w:tc>
          <w:tcPr>
            <w:tcW w:w="0" w:type="auto"/>
            <w:vAlign w:val="center"/>
            <w:hideMark/>
          </w:tcPr>
          <w:p w14:paraId="48F9BB85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1.000</w:t>
            </w:r>
          </w:p>
        </w:tc>
      </w:tr>
      <w:tr w:rsidR="00C836BD" w:rsidRPr="00C836BD" w14:paraId="756BDA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C2E2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 latency</w:t>
            </w:r>
          </w:p>
        </w:tc>
        <w:tc>
          <w:tcPr>
            <w:tcW w:w="0" w:type="auto"/>
            <w:vAlign w:val="center"/>
            <w:hideMark/>
          </w:tcPr>
          <w:p w14:paraId="33D45FCC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271.9 ms</w:t>
            </w:r>
          </w:p>
        </w:tc>
      </w:tr>
      <w:tr w:rsidR="00C836BD" w:rsidRPr="00C836BD" w14:paraId="4FC327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94D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Median latency</w:t>
            </w:r>
          </w:p>
        </w:tc>
        <w:tc>
          <w:tcPr>
            <w:tcW w:w="0" w:type="auto"/>
            <w:vAlign w:val="center"/>
            <w:hideMark/>
          </w:tcPr>
          <w:p w14:paraId="6F05E22F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15.6 ms</w:t>
            </w:r>
          </w:p>
        </w:tc>
      </w:tr>
      <w:tr w:rsidR="00C836BD" w:rsidRPr="00C836BD" w14:paraId="4DDF2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30276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p95 latency</w:t>
            </w:r>
          </w:p>
        </w:tc>
        <w:tc>
          <w:tcPr>
            <w:tcW w:w="0" w:type="auto"/>
            <w:vAlign w:val="center"/>
            <w:hideMark/>
          </w:tcPr>
          <w:p w14:paraId="16120F3C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1,427.7 ms</w:t>
            </w:r>
          </w:p>
        </w:tc>
      </w:tr>
    </w:tbl>
    <w:p w14:paraId="047F631B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NDCG ceiling reflects strong semantic alignment between gold queries and paper introductions on a topically focused corpus. The high p95 latency is driven by cold-start and unoptimized retrieval on first queries — addressed by AutoML below.</w:t>
      </w:r>
    </w:p>
    <w:p w14:paraId="2609B5D6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4. AutoML for Retriever (Optuna TPE, 30 trials, 70/30 train/test split)</w:t>
      </w:r>
    </w:p>
    <w:p w14:paraId="5D91A0F7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Search space (5 hyperparameters, per rubric):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8"/>
        <w:gridCol w:w="1113"/>
        <w:gridCol w:w="2385"/>
      </w:tblGrid>
      <w:tr w:rsidR="00C836BD" w:rsidRPr="00C836BD" w14:paraId="726FC1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D915D9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Hyperparameter</w:t>
            </w:r>
          </w:p>
        </w:tc>
        <w:tc>
          <w:tcPr>
            <w:tcW w:w="0" w:type="auto"/>
            <w:vAlign w:val="center"/>
            <w:hideMark/>
          </w:tcPr>
          <w:p w14:paraId="4127F1CF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747315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Range / Options</w:t>
            </w:r>
          </w:p>
        </w:tc>
      </w:tr>
      <w:tr w:rsidR="00C836BD" w:rsidRPr="00C836BD" w14:paraId="691A4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1A473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0B1E9AEF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2A7D6B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[3, 10]</w:t>
            </w:r>
          </w:p>
        </w:tc>
      </w:tr>
      <w:tr w:rsidR="00C836BD" w:rsidRPr="00C836BD" w14:paraId="76D4D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693F2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alpha</w:t>
            </w:r>
          </w:p>
        </w:tc>
        <w:tc>
          <w:tcPr>
            <w:tcW w:w="0" w:type="auto"/>
            <w:vAlign w:val="center"/>
            <w:hideMark/>
          </w:tcPr>
          <w:p w14:paraId="4A36765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2667CA9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[0.0, 1.0]</w:t>
            </w:r>
          </w:p>
        </w:tc>
      </w:tr>
      <w:tr w:rsidR="00C836BD" w:rsidRPr="00C836BD" w14:paraId="2BB7B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B7470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E3ED06B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0ACE69A6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{cosine, dot, euclidean}</w:t>
            </w:r>
          </w:p>
        </w:tc>
      </w:tr>
      <w:tr w:rsidR="00C836BD" w:rsidRPr="00C836BD" w14:paraId="70182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EEF01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</w:t>
            </w:r>
          </w:p>
        </w:tc>
        <w:tc>
          <w:tcPr>
            <w:tcW w:w="0" w:type="auto"/>
            <w:vAlign w:val="center"/>
            <w:hideMark/>
          </w:tcPr>
          <w:p w14:paraId="5AC3C09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22C163A3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{True, False}</w:t>
            </w:r>
          </w:p>
        </w:tc>
      </w:tr>
      <w:tr w:rsidR="00C836BD" w:rsidRPr="00C836BD" w14:paraId="1279A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F4954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svd_dim</w:t>
            </w:r>
          </w:p>
        </w:tc>
        <w:tc>
          <w:tcPr>
            <w:tcW w:w="0" w:type="auto"/>
            <w:vAlign w:val="center"/>
            <w:hideMark/>
          </w:tcPr>
          <w:p w14:paraId="78DD04A3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categorical</w:t>
            </w:r>
          </w:p>
        </w:tc>
        <w:tc>
          <w:tcPr>
            <w:tcW w:w="0" w:type="auto"/>
            <w:vAlign w:val="center"/>
            <w:hideMark/>
          </w:tcPr>
          <w:p w14:paraId="5207DB6C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{None, 128, 256, 384}</w:t>
            </w:r>
          </w:p>
        </w:tc>
      </w:tr>
    </w:tbl>
    <w:p w14:paraId="5F475180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combined = NDCG@5 − 0.1 · (p95_latency / 2000 ms)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. The penalty incentivizes configurations that preserve quality while staying well under the 2-second budget.</w:t>
      </w:r>
    </w:p>
    <w:p w14:paraId="4E0E945C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Methodology.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Gold queries split 70/30 (7 train, 3 held-out test, seed = 42). Optuna sees only the train queries during HPO; final metrics reported on the held-out test queries. TPESampler with seed = 42 for reproducibility.</w:t>
      </w:r>
    </w:p>
    <w:p w14:paraId="205E66BD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Best configuration (trial 27):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1"/>
        <w:gridCol w:w="735"/>
      </w:tblGrid>
      <w:tr w:rsidR="00C836BD" w:rsidRPr="00C836BD" w14:paraId="61D466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9827EA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Hyperparameter</w:t>
            </w:r>
          </w:p>
        </w:tc>
        <w:tc>
          <w:tcPr>
            <w:tcW w:w="0" w:type="auto"/>
            <w:vAlign w:val="center"/>
            <w:hideMark/>
          </w:tcPr>
          <w:p w14:paraId="4840323F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</w:t>
            </w:r>
          </w:p>
        </w:tc>
      </w:tr>
      <w:tr w:rsidR="00C836BD" w:rsidRPr="00C836BD" w14:paraId="352F4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CADD1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6054EDAF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</w:tr>
      <w:tr w:rsidR="00C836BD" w:rsidRPr="00C836BD" w14:paraId="5BA4F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E9870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alpha</w:t>
            </w:r>
          </w:p>
        </w:tc>
        <w:tc>
          <w:tcPr>
            <w:tcW w:w="0" w:type="auto"/>
            <w:vAlign w:val="center"/>
            <w:hideMark/>
          </w:tcPr>
          <w:p w14:paraId="494AF4FA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0.879</w:t>
            </w:r>
          </w:p>
        </w:tc>
      </w:tr>
      <w:tr w:rsidR="00C836BD" w:rsidRPr="00C836BD" w14:paraId="74860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0CF46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CDC8FD0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dot</w:t>
            </w:r>
          </w:p>
        </w:tc>
      </w:tr>
      <w:tr w:rsidR="00C836BD" w:rsidRPr="00C836BD" w14:paraId="59A41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7A9F5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</w:t>
            </w:r>
          </w:p>
        </w:tc>
        <w:tc>
          <w:tcPr>
            <w:tcW w:w="0" w:type="auto"/>
            <w:vAlign w:val="center"/>
            <w:hideMark/>
          </w:tcPr>
          <w:p w14:paraId="79700606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True</w:t>
            </w:r>
          </w:p>
        </w:tc>
      </w:tr>
      <w:tr w:rsidR="00C836BD" w:rsidRPr="00C836BD" w14:paraId="4F5BA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E63DB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svd_dim</w:t>
            </w:r>
          </w:p>
        </w:tc>
        <w:tc>
          <w:tcPr>
            <w:tcW w:w="0" w:type="auto"/>
            <w:vAlign w:val="center"/>
            <w:hideMark/>
          </w:tcPr>
          <w:p w14:paraId="36D9749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384</w:t>
            </w:r>
          </w:p>
        </w:tc>
      </w:tr>
      <w:tr w:rsidR="00C836BD" w:rsidRPr="00C836BD" w14:paraId="3636E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5A1C5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Combined objective score</w:t>
            </w:r>
          </w:p>
        </w:tc>
        <w:tc>
          <w:tcPr>
            <w:tcW w:w="0" w:type="auto"/>
            <w:vAlign w:val="center"/>
            <w:hideMark/>
          </w:tcPr>
          <w:p w14:paraId="323BABB4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0.9993</w:t>
            </w:r>
          </w:p>
        </w:tc>
      </w:tr>
    </w:tbl>
    <w:p w14:paraId="735C8599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Held-out test evaluation: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1121"/>
        <w:gridCol w:w="989"/>
      </w:tblGrid>
      <w:tr w:rsidR="00C836BD" w:rsidRPr="00C836BD" w14:paraId="16182A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E25D5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657E41C1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Train (7q)</w:t>
            </w:r>
          </w:p>
        </w:tc>
        <w:tc>
          <w:tcPr>
            <w:tcW w:w="0" w:type="auto"/>
            <w:vAlign w:val="center"/>
            <w:hideMark/>
          </w:tcPr>
          <w:p w14:paraId="37AD801A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 (3q)</w:t>
            </w:r>
          </w:p>
        </w:tc>
      </w:tr>
      <w:tr w:rsidR="00C836BD" w:rsidRPr="00C836BD" w14:paraId="76C76B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049EC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Recall@5</w:t>
            </w:r>
          </w:p>
        </w:tc>
        <w:tc>
          <w:tcPr>
            <w:tcW w:w="0" w:type="auto"/>
            <w:vAlign w:val="center"/>
            <w:hideMark/>
          </w:tcPr>
          <w:p w14:paraId="63F0A93D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1.000</w:t>
            </w:r>
          </w:p>
        </w:tc>
        <w:tc>
          <w:tcPr>
            <w:tcW w:w="0" w:type="auto"/>
            <w:vAlign w:val="center"/>
            <w:hideMark/>
          </w:tcPr>
          <w:p w14:paraId="22998671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1.000</w:t>
            </w:r>
          </w:p>
        </w:tc>
      </w:tr>
      <w:tr w:rsidR="00C836BD" w:rsidRPr="00C836BD" w14:paraId="19023A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3EE28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NDCG@5</w:t>
            </w:r>
          </w:p>
        </w:tc>
        <w:tc>
          <w:tcPr>
            <w:tcW w:w="0" w:type="auto"/>
            <w:vAlign w:val="center"/>
            <w:hideMark/>
          </w:tcPr>
          <w:p w14:paraId="09845A83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1.000</w:t>
            </w:r>
          </w:p>
        </w:tc>
        <w:tc>
          <w:tcPr>
            <w:tcW w:w="0" w:type="auto"/>
            <w:vAlign w:val="center"/>
            <w:hideMark/>
          </w:tcPr>
          <w:p w14:paraId="35910F3C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1.000</w:t>
            </w:r>
          </w:p>
        </w:tc>
      </w:tr>
      <w:tr w:rsidR="00C836BD" w:rsidRPr="00C836BD" w14:paraId="67E87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4BC4F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p95 latency</w:t>
            </w:r>
          </w:p>
        </w:tc>
        <w:tc>
          <w:tcPr>
            <w:tcW w:w="0" w:type="auto"/>
            <w:vAlign w:val="center"/>
            <w:hideMark/>
          </w:tcPr>
          <w:p w14:paraId="3608CD09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14.9 ms</w:t>
            </w:r>
          </w:p>
        </w:tc>
        <w:tc>
          <w:tcPr>
            <w:tcW w:w="0" w:type="auto"/>
            <w:vAlign w:val="center"/>
            <w:hideMark/>
          </w:tcPr>
          <w:p w14:paraId="0AAE9DCD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423.7 ms</w:t>
            </w:r>
          </w:p>
        </w:tc>
      </w:tr>
    </w:tbl>
    <w:p w14:paraId="5C6559BD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[INSERT IMAGE: optuna_convergence.png — width 5.5"]</w:t>
      </w:r>
    </w:p>
    <w:p w14:paraId="3730A16B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Figure 1. Optuna TPE convergence over 30 trials.</w:t>
      </w:r>
    </w:p>
    <w:p w14:paraId="5FAD6614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The optimizer chose a dense-heavy fusion (α = 0.879) with the dot-product metric and full 384-dim embeddings, confirming semantic similarity drives this task. The latency-aware objective reduced train p95 from 1,427.7 ms (baseline) to 14.9 ms — a 99 % reduction — without 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sacrificing relevance. Higher test p95 of 423.7 ms reflects cold-start variance over only 3 test queries; well below the 2,000 ms ceiling. Test NDCG and Recall both holding at 1.000 confirms no overfit. Reproducibility record saved as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results/automl_run_card.yaml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A31EFCD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Online Learning with Drift Adaptation</w:t>
      </w:r>
    </w:p>
    <w:p w14:paraId="08C9397B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Setup.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Prequential test-then-train protocol using </w:t>
      </w: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River GaussianNB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. Stream of 80 samples with two features (f₁, f₂). Pre-drift rule (samples 0–39): label = 1 if f₁ &gt; 0.5 else 0, with 5 % error noise. </w:t>
      </w: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Abrupt drift at sample 40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flips the rule and shifts the error signal to 90 %. Rolling accuracy computed over a window of 10 samples.</w:t>
      </w:r>
    </w:p>
    <w:p w14:paraId="2AAEEB64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Drift detector.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ADWIN(delta = 0.002, clock = 1)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. The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clock = 1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setting forces drift evaluation at every sample.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1149"/>
      </w:tblGrid>
      <w:tr w:rsidR="00C836BD" w:rsidRPr="00C836BD" w14:paraId="00F70E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92EA7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0CF6F8C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</w:t>
            </w:r>
          </w:p>
        </w:tc>
      </w:tr>
      <w:tr w:rsidR="00C836BD" w:rsidRPr="00C836BD" w14:paraId="29E71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69BCD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Stream length</w:t>
            </w:r>
          </w:p>
        </w:tc>
        <w:tc>
          <w:tcPr>
            <w:tcW w:w="0" w:type="auto"/>
            <w:vAlign w:val="center"/>
            <w:hideMark/>
          </w:tcPr>
          <w:p w14:paraId="49F3D2B4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80 samples</w:t>
            </w:r>
          </w:p>
        </w:tc>
      </w:tr>
      <w:tr w:rsidR="00C836BD" w:rsidRPr="00C836BD" w14:paraId="56F7B0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F1832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True drift point</w:t>
            </w:r>
          </w:p>
        </w:tc>
        <w:tc>
          <w:tcPr>
            <w:tcW w:w="0" w:type="auto"/>
            <w:vAlign w:val="center"/>
            <w:hideMark/>
          </w:tcPr>
          <w:p w14:paraId="60FFF8C6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Sample 40</w:t>
            </w:r>
          </w:p>
        </w:tc>
      </w:tr>
      <w:tr w:rsidR="00C836BD" w:rsidRPr="00C836BD" w14:paraId="69ACF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CA08D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ADWIN drift detected at</w:t>
            </w:r>
          </w:p>
        </w:tc>
        <w:tc>
          <w:tcPr>
            <w:tcW w:w="0" w:type="auto"/>
            <w:vAlign w:val="center"/>
            <w:hideMark/>
          </w:tcPr>
          <w:p w14:paraId="061834C4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Sample 72</w:t>
            </w:r>
          </w:p>
        </w:tc>
      </w:tr>
      <w:tr w:rsidR="00C836BD" w:rsidRPr="00C836BD" w14:paraId="186666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47CEF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Detection lag</w:t>
            </w:r>
          </w:p>
        </w:tc>
        <w:tc>
          <w:tcPr>
            <w:tcW w:w="0" w:type="auto"/>
            <w:vAlign w:val="center"/>
            <w:hideMark/>
          </w:tcPr>
          <w:p w14:paraId="4339B876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32 samples</w:t>
            </w:r>
          </w:p>
        </w:tc>
      </w:tr>
    </w:tbl>
    <w:p w14:paraId="2B7067BA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[INSERT IMAGE: adwin_evidence_plot.png — width 5.5"]</w:t>
      </w:r>
    </w:p>
    <w:p w14:paraId="124821CA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Figure 2. Rolling accuracy (blue) drops after the true drift (green, sample 40). ADWIN issues a drift alarm (red, sample 72) once the post-drift error signal accumulates statistical evidence under δ = 0.002.</w:t>
      </w:r>
    </w:p>
    <w:p w14:paraId="74450657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The 32-sample detection lag is a deliberate trade-off: a tighter δ would reduce lag but raise false-alarm rate.</w:t>
      </w:r>
    </w:p>
    <w:p w14:paraId="17112E25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Adaptive vs Static Baseline (rubric target: &gt; +5 %)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1"/>
        <w:gridCol w:w="1733"/>
      </w:tblGrid>
      <w:tr w:rsidR="00C836BD" w:rsidRPr="00C836BD" w14:paraId="4745A0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24028F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582D581" w14:textId="77777777" w:rsidR="00C836BD" w:rsidRPr="00C836BD" w:rsidRDefault="00C836BD" w:rsidP="00C836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Value</w:t>
            </w:r>
          </w:p>
        </w:tc>
      </w:tr>
      <w:tr w:rsidR="00C836BD" w:rsidRPr="00C836BD" w14:paraId="56EFD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AA118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Post-drift adaptive accuracy (samples 40–79)</w:t>
            </w:r>
          </w:p>
        </w:tc>
        <w:tc>
          <w:tcPr>
            <w:tcW w:w="0" w:type="auto"/>
            <w:vAlign w:val="center"/>
            <w:hideMark/>
          </w:tcPr>
          <w:p w14:paraId="5F72ECB5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0.260</w:t>
            </w:r>
          </w:p>
        </w:tc>
      </w:tr>
      <w:tr w:rsidR="00C836BD" w:rsidRPr="00C836BD" w14:paraId="710C7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C7F4E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Post-drift static baseline accuracy (samples 40–79)</w:t>
            </w:r>
          </w:p>
        </w:tc>
        <w:tc>
          <w:tcPr>
            <w:tcW w:w="0" w:type="auto"/>
            <w:vAlign w:val="center"/>
            <w:hideMark/>
          </w:tcPr>
          <w:p w14:paraId="281CB9B1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0.113</w:t>
            </w:r>
          </w:p>
        </w:tc>
      </w:tr>
      <w:tr w:rsidR="00C836BD" w:rsidRPr="00C836BD" w14:paraId="30774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4D1F3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Relative improvement</w:t>
            </w:r>
          </w:p>
        </w:tc>
        <w:tc>
          <w:tcPr>
            <w:tcW w:w="0" w:type="auto"/>
            <w:vAlign w:val="center"/>
            <w:hideMark/>
          </w:tcPr>
          <w:p w14:paraId="04E71758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+131.1 %</w:t>
            </w:r>
          </w:p>
        </w:tc>
      </w:tr>
      <w:tr w:rsidR="00C836BD" w:rsidRPr="00C836BD" w14:paraId="40751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0F90A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Rubric target</w:t>
            </w:r>
          </w:p>
        </w:tc>
        <w:tc>
          <w:tcPr>
            <w:tcW w:w="0" w:type="auto"/>
            <w:vAlign w:val="center"/>
            <w:hideMark/>
          </w:tcPr>
          <w:p w14:paraId="023EDB70" w14:textId="77777777" w:rsidR="00C836BD" w:rsidRPr="00C836BD" w:rsidRDefault="00C836BD" w:rsidP="00C836B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36B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&gt; +5 % — </w:t>
            </w:r>
            <w:r w:rsidRPr="00C836B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PASS</w:t>
            </w:r>
          </w:p>
        </w:tc>
      </w:tr>
    </w:tbl>
    <w:p w14:paraId="66708DF6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[INSERT IMAGE: adaptive_vs_static.png — width 5.5"]</w:t>
      </w:r>
    </w:p>
    <w:p w14:paraId="0703160C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Figure 3. Adaptive learner (blue) vs static frozen baseline (orange). Post-drift period shaded red. The adaptive learner partially recovers; the static baseline is locked at the inverted rule.</w:t>
      </w:r>
    </w:p>
    <w:p w14:paraId="1C71919E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Online-learning record saved as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results/online_run_card.yaml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BEC2A46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7. Insights and Decisions</w:t>
      </w:r>
    </w:p>
    <w:p w14:paraId="3E1E8B08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Latency penalty in the AutoML objective produced the most consequential win.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A pure-NDCG objective would have left p95 latency at the baseline (1,427.7 ms). The 0.1 weight pushed the optimizer toward a configuration with 99 % lower p95 while retaining ceiling NDCG.</w:t>
      </w:r>
    </w:p>
    <w:p w14:paraId="34C89650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Train/test split confirms no overfit.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With Optuna seeing only 7 queries and final metrics computed on 3 held-out queries (seed = 42), perfect test scores demonstrate the chosen configuration generalizes.</w:t>
      </w:r>
    </w:p>
    <w:p w14:paraId="0E3B3DD4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Choice of algorithms reflects lab content.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Optuna TPE was selected from the strategies covered in Week 2 (Grid, Random, TPE, Hyperband, BOHB) because TPE balances exploration and exploitation efficiently on small (&lt; 50) trial budgets, while Hyperband/BOHB are better suited to costly training jobs. ADWIN was selected over DDM, KSWIN, and Page-Hinkley (Week 4) because its windowing approach handles both abrupt and gradual drift without requiring distribution assumptions. River GaussianNB was chosen over Hoeffding Tree after observing that closed-form per-sample updates adapt faster than tree-split updates on streams of this size, producing a cleaner pre-/post-drift contrast for ADWIN.</w:t>
      </w:r>
    </w:p>
    <w:p w14:paraId="11BF9B6D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Limitations.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Corpus size is 10 papers due to arXiv rate-limiting during ingest; the methodology generalizes directly to larger corpora. Online learning uses a synthetic feedback stream rather than real user clicks — D2 will collect real feedback via FastAPI.</w:t>
      </w:r>
    </w:p>
    <w:p w14:paraId="7EBA5AEB" w14:textId="77777777" w:rsidR="00C836BD" w:rsidRPr="00C836BD" w:rsidRDefault="00C836BD" w:rsidP="00C836B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36B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8. Reproducibility</w:t>
      </w:r>
    </w:p>
    <w:p w14:paraId="4E3EDDA9" w14:textId="77777777" w:rsidR="00C836BD" w:rsidRPr="00C836BD" w:rsidRDefault="00C836BD" w:rsidP="00C83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All experiments are deterministic with seed = 42 (Optuna sampler, NumPy stream generation, train/test split, embedding model). To reproduce: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 install -r requirements.txt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, then run notebooks in order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01_ingest_corpus → 02_build_index → 03_gold_set → 04_automl → 05_online_learning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. Outputs regenerate in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results/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(run cards, plots) and </w:t>
      </w:r>
      <w:r w:rsidRPr="00C836B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data/</w:t>
      </w:r>
      <w:r w:rsidRPr="00C836BD">
        <w:rPr>
          <w:rFonts w:ascii="Times New Roman" w:eastAsia="Times New Roman" w:hAnsi="Times New Roman" w:cs="Times New Roman"/>
          <w:kern w:val="0"/>
          <w14:ligatures w14:val="none"/>
        </w:rPr>
        <w:t xml:space="preserve"> (CSV, gold set).</w:t>
      </w:r>
    </w:p>
    <w:p w14:paraId="3982B807" w14:textId="233A779E" w:rsidR="000B1184" w:rsidRPr="00C836BD" w:rsidRDefault="000B1184" w:rsidP="00C836BD"/>
    <w:sectPr w:rsidR="000B1184" w:rsidRPr="00C836BD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5198F" w14:textId="77777777" w:rsidR="008A18BB" w:rsidRDefault="008A18BB" w:rsidP="000B1184">
      <w:pPr>
        <w:spacing w:after="0" w:line="240" w:lineRule="auto"/>
      </w:pPr>
      <w:r>
        <w:separator/>
      </w:r>
    </w:p>
  </w:endnote>
  <w:endnote w:type="continuationSeparator" w:id="0">
    <w:p w14:paraId="04A9F824" w14:textId="77777777" w:rsidR="008A18BB" w:rsidRDefault="008A18BB" w:rsidP="000B11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71639964"/>
      <w:docPartObj>
        <w:docPartGallery w:val="Page Numbers (Bottom of Page)"/>
        <w:docPartUnique/>
      </w:docPartObj>
    </w:sdtPr>
    <w:sdtContent>
      <w:p w14:paraId="30BDCFC5" w14:textId="188CF2F4" w:rsidR="000B1184" w:rsidRDefault="000B1184" w:rsidP="0093742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26AA52F" w14:textId="77777777" w:rsidR="000B1184" w:rsidRDefault="000B1184" w:rsidP="000B118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02325453"/>
      <w:docPartObj>
        <w:docPartGallery w:val="Page Numbers (Bottom of Page)"/>
        <w:docPartUnique/>
      </w:docPartObj>
    </w:sdtPr>
    <w:sdtContent>
      <w:p w14:paraId="5FE0C8DC" w14:textId="1B86A349" w:rsidR="000B1184" w:rsidRDefault="000B1184" w:rsidP="0093742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86877B7" w14:textId="77777777" w:rsidR="000B1184" w:rsidRDefault="000B1184" w:rsidP="000B118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BA3A9" w14:textId="77777777" w:rsidR="008A18BB" w:rsidRDefault="008A18BB" w:rsidP="000B1184">
      <w:pPr>
        <w:spacing w:after="0" w:line="240" w:lineRule="auto"/>
      </w:pPr>
      <w:r>
        <w:separator/>
      </w:r>
    </w:p>
  </w:footnote>
  <w:footnote w:type="continuationSeparator" w:id="0">
    <w:p w14:paraId="372D6705" w14:textId="77777777" w:rsidR="008A18BB" w:rsidRDefault="008A18BB" w:rsidP="000B11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A6229"/>
    <w:multiLevelType w:val="multilevel"/>
    <w:tmpl w:val="0918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7131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184"/>
    <w:rsid w:val="000B1184"/>
    <w:rsid w:val="00512B4D"/>
    <w:rsid w:val="005702A5"/>
    <w:rsid w:val="005947D0"/>
    <w:rsid w:val="008A18BB"/>
    <w:rsid w:val="008C2E13"/>
    <w:rsid w:val="00B47858"/>
    <w:rsid w:val="00C83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B86251"/>
  <w15:chartTrackingRefBased/>
  <w15:docId w15:val="{BF78D920-4DBE-5047-9301-70838EC09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1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1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11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1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1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1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1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1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1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1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11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11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1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1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1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1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1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1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1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1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1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1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1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1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1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1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1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184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B11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B1184"/>
    <w:rPr>
      <w:i/>
      <w:iCs/>
    </w:rPr>
  </w:style>
  <w:style w:type="character" w:styleId="Strong">
    <w:name w:val="Strong"/>
    <w:basedOn w:val="DefaultParagraphFont"/>
    <w:uiPriority w:val="22"/>
    <w:qFormat/>
    <w:rsid w:val="000B118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B118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B11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1184"/>
  </w:style>
  <w:style w:type="paragraph" w:styleId="Footer">
    <w:name w:val="footer"/>
    <w:basedOn w:val="Normal"/>
    <w:link w:val="FooterChar"/>
    <w:uiPriority w:val="99"/>
    <w:unhideWhenUsed/>
    <w:rsid w:val="000B11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1184"/>
  </w:style>
  <w:style w:type="character" w:styleId="PageNumber">
    <w:name w:val="page number"/>
    <w:basedOn w:val="DefaultParagraphFont"/>
    <w:uiPriority w:val="99"/>
    <w:semiHidden/>
    <w:unhideWhenUsed/>
    <w:rsid w:val="000B11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Gamze Okmen</dc:creator>
  <cp:keywords/>
  <dc:description/>
  <cp:lastModifiedBy>Gamze Okmen</cp:lastModifiedBy>
  <cp:revision>3</cp:revision>
  <dcterms:created xsi:type="dcterms:W3CDTF">2026-05-15T14:29:00Z</dcterms:created>
  <dcterms:modified xsi:type="dcterms:W3CDTF">2026-05-16T06:26:00Z</dcterms:modified>
</cp:coreProperties>
</file>