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35240" w14:textId="77777777" w:rsidR="00A026B7" w:rsidRDefault="00A026B7" w:rsidP="00A026B7">
      <w:pPr>
        <w:spacing w:line="592" w:lineRule="auto"/>
        <w:ind w:left="2096" w:right="2368" w:firstLine="7"/>
        <w:jc w:val="center"/>
        <w:rPr>
          <w:rFonts w:ascii="Times New Roman" w:hAnsi="Times New Roman" w:cs="Times New Roman"/>
          <w:b/>
        </w:rPr>
      </w:pPr>
      <w:r w:rsidRPr="004A5F49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47F8CBE3" wp14:editId="2EB28BC6">
            <wp:simplePos x="0" y="0"/>
            <wp:positionH relativeFrom="column">
              <wp:posOffset>931545</wp:posOffset>
            </wp:positionH>
            <wp:positionV relativeFrom="paragraph">
              <wp:posOffset>0</wp:posOffset>
            </wp:positionV>
            <wp:extent cx="4570730" cy="1003935"/>
            <wp:effectExtent l="0" t="0" r="0" b="0"/>
            <wp:wrapThrough wrapText="bothSides">
              <wp:wrapPolygon edited="0">
                <wp:start x="9123" y="2186"/>
                <wp:lineTo x="3961" y="3006"/>
                <wp:lineTo x="3421" y="3279"/>
                <wp:lineTo x="3421" y="7104"/>
                <wp:lineTo x="1560" y="7651"/>
                <wp:lineTo x="240" y="9564"/>
                <wp:lineTo x="240" y="13662"/>
                <wp:lineTo x="3781" y="15848"/>
                <wp:lineTo x="4321" y="15848"/>
                <wp:lineTo x="4321" y="19400"/>
                <wp:lineTo x="9123" y="20493"/>
                <wp:lineTo x="13144" y="20493"/>
                <wp:lineTo x="15484" y="19947"/>
                <wp:lineTo x="17705" y="18034"/>
                <wp:lineTo x="17585" y="15848"/>
                <wp:lineTo x="20166" y="15848"/>
                <wp:lineTo x="21426" y="14482"/>
                <wp:lineTo x="21486" y="9837"/>
                <wp:lineTo x="20286" y="9017"/>
                <wp:lineTo x="15604" y="6285"/>
                <wp:lineTo x="14464" y="4099"/>
                <wp:lineTo x="13144" y="2186"/>
                <wp:lineTo x="9123" y="2186"/>
              </wp:wrapPolygon>
            </wp:wrapThrough>
            <wp:docPr id="6" name="Picture 5" descr="Logo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0055341-7B94-278B-3099-5B7E9940EC4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 descr="Logo&#10;&#10;Description automatically generated">
                      <a:extLst>
                        <a:ext uri="{FF2B5EF4-FFF2-40B4-BE49-F238E27FC236}">
                          <a16:creationId xmlns:a16="http://schemas.microsoft.com/office/drawing/2014/main" id="{40055341-7B94-278B-3099-5B7E9940EC4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073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E71E8B" w14:textId="77777777" w:rsidR="00A026B7" w:rsidRDefault="00A026B7" w:rsidP="00A026B7">
      <w:pPr>
        <w:spacing w:line="592" w:lineRule="auto"/>
        <w:ind w:right="2368"/>
        <w:rPr>
          <w:rFonts w:ascii="Times New Roman" w:hAnsi="Times New Roman" w:cs="Times New Roman"/>
          <w:b/>
        </w:rPr>
      </w:pPr>
    </w:p>
    <w:p w14:paraId="2F8B844D" w14:textId="77777777" w:rsidR="00A026B7" w:rsidRDefault="00A026B7" w:rsidP="00A026B7">
      <w:pPr>
        <w:spacing w:line="592" w:lineRule="auto"/>
        <w:ind w:left="2096" w:right="2368" w:firstLine="7"/>
        <w:jc w:val="center"/>
        <w:rPr>
          <w:rFonts w:ascii="Times New Roman" w:hAnsi="Times New Roman" w:cs="Times New Roman"/>
          <w:b/>
        </w:rPr>
      </w:pPr>
    </w:p>
    <w:p w14:paraId="165F5498" w14:textId="77777777" w:rsidR="00A026B7" w:rsidRDefault="00A026B7" w:rsidP="00A026B7">
      <w:pPr>
        <w:spacing w:line="592" w:lineRule="auto"/>
        <w:ind w:left="2096" w:right="2368" w:firstLine="7"/>
        <w:jc w:val="center"/>
        <w:rPr>
          <w:rFonts w:ascii="Times New Roman" w:hAnsi="Times New Roman" w:cs="Times New Roman"/>
          <w:b/>
        </w:rPr>
      </w:pPr>
    </w:p>
    <w:p w14:paraId="623CFDCB" w14:textId="3412F3EE" w:rsidR="00A026B7" w:rsidRDefault="005400B5" w:rsidP="00A026B7">
      <w:pPr>
        <w:bidi/>
        <w:spacing w:line="590" w:lineRule="auto"/>
        <w:ind w:left="368" w:right="637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Special Topic in AI</w:t>
      </w:r>
      <w:r w:rsidR="00A026B7"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  <w:b/>
          <w:bCs/>
        </w:rPr>
        <w:t>Report Deliverable 1</w:t>
      </w:r>
    </w:p>
    <w:p w14:paraId="58E145E3" w14:textId="0044006F" w:rsidR="00A026B7" w:rsidRPr="005400B5" w:rsidRDefault="00A026B7" w:rsidP="00A026B7">
      <w:pPr>
        <w:bidi/>
        <w:spacing w:line="590" w:lineRule="auto"/>
        <w:ind w:left="368" w:right="637"/>
        <w:jc w:val="center"/>
        <w:rPr>
          <w:rFonts w:ascii="Times New Roman" w:hAnsi="Times New Roman" w:cs="Times New Roman"/>
        </w:rPr>
      </w:pPr>
      <w:r w:rsidRPr="004700EA">
        <w:rPr>
          <w:rFonts w:ascii="Times New Roman" w:hAnsi="Times New Roman" w:cs="Times New Roman"/>
        </w:rPr>
        <w:t xml:space="preserve"> </w:t>
      </w:r>
      <w:r w:rsidR="005400B5" w:rsidRPr="005400B5">
        <w:rPr>
          <w:rFonts w:ascii="Times New Roman" w:hAnsi="Times New Roman" w:cs="Times New Roman"/>
        </w:rPr>
        <w:t>CSAI415_APR26 - Special Topics in AI</w:t>
      </w:r>
    </w:p>
    <w:p w14:paraId="5542F9F1" w14:textId="77777777" w:rsidR="00A026B7" w:rsidRPr="004A5F49" w:rsidRDefault="00A026B7" w:rsidP="00A026B7">
      <w:pPr>
        <w:bidi/>
        <w:spacing w:line="592" w:lineRule="auto"/>
        <w:ind w:left="2096" w:right="2368" w:firstLine="7"/>
        <w:jc w:val="center"/>
        <w:rPr>
          <w:rFonts w:ascii="Times New Roman" w:hAnsi="Times New Roman" w:cs="Times New Roman"/>
          <w:b/>
        </w:rPr>
      </w:pPr>
      <w:r w:rsidRPr="004A5F49">
        <w:rPr>
          <w:rFonts w:ascii="Times New Roman" w:hAnsi="Times New Roman" w:cs="Times New Roman"/>
        </w:rPr>
        <w:t>‘</w:t>
      </w:r>
      <w:r>
        <w:rPr>
          <w:rFonts w:ascii="Times New Roman" w:hAnsi="Times New Roman" w:cs="Times New Roman"/>
        </w:rPr>
        <w:t>Spring</w:t>
      </w:r>
      <w:r w:rsidRPr="004A5F49">
        <w:rPr>
          <w:rFonts w:ascii="Times New Roman" w:hAnsi="Times New Roman" w:cs="Times New Roman"/>
        </w:rPr>
        <w:t xml:space="preserve"> 202</w:t>
      </w:r>
      <w:r>
        <w:rPr>
          <w:rFonts w:ascii="Times New Roman" w:hAnsi="Times New Roman" w:cs="Times New Roman"/>
        </w:rPr>
        <w:t>6</w:t>
      </w:r>
      <w:r w:rsidRPr="004A5F49">
        <w:rPr>
          <w:rFonts w:ascii="Times New Roman" w:hAnsi="Times New Roman" w:cs="Times New Roman"/>
        </w:rPr>
        <w:t>’</w:t>
      </w:r>
    </w:p>
    <w:p w14:paraId="057B82A6" w14:textId="39F88A6F" w:rsidR="00A026B7" w:rsidRPr="004A5F49" w:rsidRDefault="00A026B7" w:rsidP="00A026B7">
      <w:pPr>
        <w:bidi/>
        <w:spacing w:line="590" w:lineRule="auto"/>
        <w:ind w:left="3007" w:right="3281"/>
        <w:jc w:val="center"/>
        <w:rPr>
          <w:rFonts w:ascii="Times New Roman" w:hAnsi="Times New Roman" w:cs="Times New Roman"/>
        </w:rPr>
      </w:pPr>
      <w:r w:rsidRPr="004A5F49">
        <w:rPr>
          <w:rFonts w:ascii="Times New Roman" w:hAnsi="Times New Roman" w:cs="Times New Roman"/>
        </w:rPr>
        <w:t>‘</w:t>
      </w:r>
      <w:r>
        <w:rPr>
          <w:rFonts w:ascii="Times New Roman" w:hAnsi="Times New Roman" w:cs="Times New Roman"/>
        </w:rPr>
        <w:t>Report</w:t>
      </w:r>
      <w:r w:rsidRPr="004A5F49">
        <w:rPr>
          <w:rFonts w:ascii="Times New Roman" w:hAnsi="Times New Roman" w:cs="Times New Roman"/>
        </w:rPr>
        <w:t>:</w:t>
      </w:r>
      <w:r w:rsidRPr="004A5F49">
        <w:rPr>
          <w:rFonts w:ascii="Times New Roman" w:hAnsi="Times New Roman" w:cs="Times New Roman"/>
          <w:spacing w:val="-15"/>
        </w:rPr>
        <w:t xml:space="preserve"> </w:t>
      </w:r>
      <w:r w:rsidRPr="004A5F49">
        <w:rPr>
          <w:rFonts w:ascii="Times New Roman" w:hAnsi="Times New Roman" w:cs="Times New Roman"/>
        </w:rPr>
        <w:t xml:space="preserve">Week </w:t>
      </w:r>
      <w:r w:rsidR="005400B5">
        <w:rPr>
          <w:rFonts w:ascii="Times New Roman" w:hAnsi="Times New Roman" w:cs="Times New Roman"/>
          <w:lang w:val="en-US"/>
        </w:rPr>
        <w:t>5</w:t>
      </w:r>
      <w:r w:rsidRPr="004A5F49">
        <w:rPr>
          <w:rFonts w:ascii="Times New Roman" w:hAnsi="Times New Roman" w:cs="Times New Roman"/>
        </w:rPr>
        <w:t xml:space="preserve">’ </w:t>
      </w:r>
    </w:p>
    <w:p w14:paraId="6E4FC396" w14:textId="77777777" w:rsidR="00A026B7" w:rsidRDefault="00A026B7" w:rsidP="00A026B7">
      <w:pPr>
        <w:bidi/>
        <w:spacing w:line="590" w:lineRule="auto"/>
        <w:ind w:left="368" w:right="637"/>
        <w:jc w:val="center"/>
        <w:rPr>
          <w:rFonts w:ascii="Times New Roman" w:hAnsi="Times New Roman" w:cs="Times New Roman"/>
        </w:rPr>
      </w:pPr>
      <w:r w:rsidRPr="004A5F49">
        <w:rPr>
          <w:rFonts w:ascii="Times New Roman" w:hAnsi="Times New Roman" w:cs="Times New Roman"/>
        </w:rPr>
        <w:t>Gamze Okmen (22001694)</w:t>
      </w:r>
      <w:r>
        <w:rPr>
          <w:rFonts w:ascii="Times New Roman" w:hAnsi="Times New Roman" w:cs="Times New Roman"/>
        </w:rPr>
        <w:t xml:space="preserve">, </w:t>
      </w:r>
      <w:r w:rsidRPr="0007536F">
        <w:rPr>
          <w:rFonts w:ascii="Times New Roman" w:eastAsia="Times New Roman" w:hAnsi="Times New Roman" w:cs="Times New Roman"/>
          <w:kern w:val="0"/>
          <w14:ligatures w14:val="none"/>
        </w:rPr>
        <w:t>Kenan Almukhllati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7536F">
        <w:rPr>
          <w:rFonts w:ascii="Times New Roman" w:eastAsia="Times New Roman" w:hAnsi="Times New Roman" w:cs="Times New Roman"/>
          <w:kern w:val="0"/>
          <w14:ligatures w14:val="none"/>
        </w:rPr>
        <w:t>2200067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5), </w:t>
      </w:r>
      <w:r w:rsidRPr="0007536F">
        <w:rPr>
          <w:rFonts w:ascii="Times New Roman" w:eastAsia="Times New Roman" w:hAnsi="Times New Roman" w:cs="Times New Roman"/>
          <w:kern w:val="0"/>
          <w14:ligatures w14:val="none"/>
        </w:rPr>
        <w:t>Alfarouq Alsharif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07536F">
        <w:rPr>
          <w:rFonts w:ascii="Times New Roman" w:eastAsia="Times New Roman" w:hAnsi="Times New Roman" w:cs="Times New Roman"/>
          <w:kern w:val="0"/>
          <w14:ligatures w14:val="none"/>
        </w:rPr>
        <w:t>22000440</w:t>
      </w:r>
      <w:r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C3FFE4C" w14:textId="77777777" w:rsidR="005617CA" w:rsidRDefault="00A026B7" w:rsidP="005617CA">
      <w:pPr>
        <w:bidi/>
        <w:spacing w:line="590" w:lineRule="auto"/>
        <w:ind w:left="368" w:right="637"/>
        <w:jc w:val="center"/>
        <w:rPr>
          <w:rFonts w:ascii="Times New Roman" w:hAnsi="Times New Roman" w:cs="Times New Roman"/>
        </w:rPr>
      </w:pPr>
      <w:r w:rsidRPr="00996DFD">
        <w:rPr>
          <w:rFonts w:ascii="Times New Roman" w:hAnsi="Times New Roman" w:cs="Times New Roman"/>
        </w:rPr>
        <w:t>“</w:t>
      </w:r>
      <w:r w:rsidR="005617CA" w:rsidRPr="005617CA">
        <w:rPr>
          <w:rFonts w:ascii="Times New Roman" w:hAnsi="Times New Roman" w:cs="Times New Roman"/>
        </w:rPr>
        <w:t>"AutoML and Online Learning for Paper RAG"</w:t>
      </w:r>
    </w:p>
    <w:p w14:paraId="383985C7" w14:textId="40A53070" w:rsidR="00A026B7" w:rsidRPr="004A5F49" w:rsidRDefault="00A026B7" w:rsidP="005617CA">
      <w:pPr>
        <w:bidi/>
        <w:spacing w:line="590" w:lineRule="auto"/>
        <w:ind w:left="368" w:right="637"/>
        <w:jc w:val="center"/>
        <w:rPr>
          <w:rFonts w:ascii="Times New Roman" w:hAnsi="Times New Roman" w:cs="Times New Roman"/>
        </w:rPr>
      </w:pPr>
      <w:r w:rsidRPr="004A5F49">
        <w:rPr>
          <w:rFonts w:ascii="Times New Roman" w:hAnsi="Times New Roman" w:cs="Times New Roman"/>
        </w:rPr>
        <w:t>Department</w:t>
      </w:r>
      <w:r w:rsidRPr="004A5F49">
        <w:rPr>
          <w:rFonts w:ascii="Times New Roman" w:hAnsi="Times New Roman" w:cs="Times New Roman"/>
          <w:spacing w:val="-2"/>
        </w:rPr>
        <w:t xml:space="preserve"> </w:t>
      </w:r>
      <w:r w:rsidRPr="004A5F49">
        <w:rPr>
          <w:rFonts w:ascii="Times New Roman" w:hAnsi="Times New Roman" w:cs="Times New Roman"/>
        </w:rPr>
        <w:t>of</w:t>
      </w:r>
      <w:r w:rsidRPr="004A5F49">
        <w:rPr>
          <w:rFonts w:ascii="Times New Roman" w:hAnsi="Times New Roman" w:cs="Times New Roman"/>
          <w:spacing w:val="-5"/>
        </w:rPr>
        <w:t xml:space="preserve"> </w:t>
      </w:r>
      <w:r w:rsidRPr="004A5F49">
        <w:rPr>
          <w:rFonts w:ascii="Times New Roman" w:hAnsi="Times New Roman" w:cs="Times New Roman"/>
        </w:rPr>
        <w:t>Artificial Intelligence</w:t>
      </w:r>
      <w:r>
        <w:rPr>
          <w:rFonts w:ascii="Times New Roman" w:hAnsi="Times New Roman" w:cs="Times New Roman"/>
        </w:rPr>
        <w:t xml:space="preserve">, </w:t>
      </w:r>
      <w:r w:rsidRPr="004A5F49">
        <w:rPr>
          <w:rFonts w:ascii="Times New Roman" w:hAnsi="Times New Roman" w:cs="Times New Roman"/>
        </w:rPr>
        <w:t>The</w:t>
      </w:r>
      <w:r w:rsidRPr="004A5F49">
        <w:rPr>
          <w:rFonts w:ascii="Times New Roman" w:hAnsi="Times New Roman" w:cs="Times New Roman"/>
          <w:spacing w:val="-6"/>
        </w:rPr>
        <w:t xml:space="preserve"> </w:t>
      </w:r>
      <w:r w:rsidRPr="004A5F49">
        <w:rPr>
          <w:rFonts w:ascii="Times New Roman" w:hAnsi="Times New Roman" w:cs="Times New Roman"/>
        </w:rPr>
        <w:t>British</w:t>
      </w:r>
      <w:r w:rsidRPr="004A5F49">
        <w:rPr>
          <w:rFonts w:ascii="Times New Roman" w:hAnsi="Times New Roman" w:cs="Times New Roman"/>
          <w:spacing w:val="-5"/>
        </w:rPr>
        <w:t xml:space="preserve"> </w:t>
      </w:r>
      <w:r w:rsidRPr="004A5F49">
        <w:rPr>
          <w:rFonts w:ascii="Times New Roman" w:hAnsi="Times New Roman" w:cs="Times New Roman"/>
        </w:rPr>
        <w:t>University</w:t>
      </w:r>
      <w:r w:rsidRPr="004A5F49">
        <w:rPr>
          <w:rFonts w:ascii="Times New Roman" w:hAnsi="Times New Roman" w:cs="Times New Roman"/>
          <w:spacing w:val="-5"/>
        </w:rPr>
        <w:t xml:space="preserve"> </w:t>
      </w:r>
      <w:r w:rsidRPr="004A5F49">
        <w:rPr>
          <w:rFonts w:ascii="Times New Roman" w:hAnsi="Times New Roman" w:cs="Times New Roman"/>
        </w:rPr>
        <w:t>in</w:t>
      </w:r>
      <w:r w:rsidRPr="004A5F49">
        <w:rPr>
          <w:rFonts w:ascii="Times New Roman" w:hAnsi="Times New Roman" w:cs="Times New Roman"/>
          <w:spacing w:val="-5"/>
        </w:rPr>
        <w:t xml:space="preserve"> </w:t>
      </w:r>
      <w:r w:rsidRPr="004A5F49">
        <w:rPr>
          <w:rFonts w:ascii="Times New Roman" w:hAnsi="Times New Roman" w:cs="Times New Roman"/>
        </w:rPr>
        <w:t xml:space="preserve">Dubai </w:t>
      </w:r>
    </w:p>
    <w:p w14:paraId="5AA4018D" w14:textId="07BD5419" w:rsidR="00A026B7" w:rsidRDefault="005400B5" w:rsidP="00A026B7">
      <w:pPr>
        <w:bidi/>
        <w:spacing w:line="590" w:lineRule="auto"/>
        <w:ind w:left="368" w:right="63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May 17</w:t>
      </w:r>
      <w:r w:rsidR="00A026B7" w:rsidRPr="004A5F49">
        <w:rPr>
          <w:rFonts w:ascii="Times New Roman" w:hAnsi="Times New Roman" w:cs="Times New Roman"/>
        </w:rPr>
        <w:t>, 202</w:t>
      </w:r>
      <w:r w:rsidR="00A026B7">
        <w:rPr>
          <w:rFonts w:ascii="Times New Roman" w:hAnsi="Times New Roman" w:cs="Times New Roman"/>
        </w:rPr>
        <w:t>6</w:t>
      </w:r>
    </w:p>
    <w:p w14:paraId="06034184" w14:textId="5FAC631C" w:rsidR="00A026B7" w:rsidRPr="00A026B7" w:rsidRDefault="00A026B7" w:rsidP="00A026B7">
      <w:pPr>
        <w:bidi/>
        <w:spacing w:line="590" w:lineRule="auto"/>
        <w:ind w:left="368" w:right="637"/>
        <w:jc w:val="center"/>
        <w:rPr>
          <w:rFonts w:ascii="Times New Roman" w:hAnsi="Times New Roman" w:cs="Times New Roman"/>
        </w:rPr>
      </w:pPr>
      <w:r w:rsidRPr="004A5F49">
        <w:rPr>
          <w:rFonts w:ascii="Times New Roman" w:hAnsi="Times New Roman" w:cs="Times New Roman"/>
        </w:rPr>
        <w:t>‘S</w:t>
      </w:r>
      <w:r>
        <w:rPr>
          <w:rFonts w:ascii="Times New Roman" w:hAnsi="Times New Roman" w:cs="Times New Roman"/>
        </w:rPr>
        <w:t>ubmitted to</w:t>
      </w:r>
      <w:r w:rsidRPr="004A5F49">
        <w:rPr>
          <w:rFonts w:ascii="Times New Roman" w:hAnsi="Times New Roman" w:cs="Times New Roman"/>
        </w:rPr>
        <w:t>:</w:t>
      </w:r>
      <w:r w:rsidRPr="004A5F49">
        <w:rPr>
          <w:rFonts w:ascii="Times New Roman" w:hAnsi="Times New Roman" w:cs="Times New Roman"/>
          <w:spacing w:val="1"/>
        </w:rPr>
        <w:t xml:space="preserve"> </w:t>
      </w:r>
      <w:r w:rsidR="005400B5">
        <w:rPr>
          <w:rFonts w:ascii="Times New Roman" w:hAnsi="Times New Roman" w:cs="Times New Roman"/>
        </w:rPr>
        <w:t xml:space="preserve">Prof. </w:t>
      </w:r>
      <w:r w:rsidR="005400B5" w:rsidRPr="005400B5">
        <w:rPr>
          <w:rFonts w:ascii="Times New Roman" w:hAnsi="Times New Roman" w:cs="Times New Roman"/>
        </w:rPr>
        <w:t>Ahmed Awad</w:t>
      </w:r>
      <w:r w:rsidR="005400B5">
        <w:rPr>
          <w:rFonts w:ascii="Times New Roman" w:hAnsi="Times New Roman" w:cs="Times New Roman"/>
        </w:rPr>
        <w:t>’</w:t>
      </w:r>
    </w:p>
    <w:p w14:paraId="5664AFE5" w14:textId="77777777" w:rsidR="00A026B7" w:rsidRDefault="00A026B7" w:rsidP="00C83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36828E33" w14:textId="77777777" w:rsidR="00A026B7" w:rsidRDefault="00A026B7" w:rsidP="00C83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5A40A87" w14:textId="49961437" w:rsidR="00C836BD" w:rsidRPr="00C836BD" w:rsidRDefault="00C836BD" w:rsidP="00C836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CSAI415 D1: AutoML and Online Learning for Paper RAG</w:t>
      </w:r>
    </w:p>
    <w:p w14:paraId="548006FA" w14:textId="77777777" w:rsidR="00C836BD" w:rsidRPr="00C836BD" w:rsidRDefault="00C836BD" w:rsidP="00C8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Executive Summary</w:t>
      </w:r>
    </w:p>
    <w:p w14:paraId="4E988A46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kern w:val="0"/>
          <w14:ligatures w14:val="none"/>
        </w:rPr>
        <w:t>We built a hybrid retrieval pipeline over 10 arXiv papers (Qdrant for dense embeddings, BM25 for sparse), then automated two layers of optimization. An Optuna TPE search over five retriever hyperparameters with a latency-aware objective and a 70/30 train/test split identified an optimal configuration achieving NDCG@5 = 1.000 on held-out test queries at p95 latency of 423.7 ms (well under the 2,000 ms rubric ceiling). A second component using River GaussianNB with ADWIN drift detection demonstrated correct prequential adaptation: ADWIN successfully detected an abrupt concept drift at sample 72, and the adaptive learner outperformed a frozen static baseline by +131.1 % on the post-drift segment (rubric target: &gt; +5 %). All three rubric baseline targets are exceeded.</w:t>
      </w:r>
    </w:p>
    <w:p w14:paraId="4CFD7705" w14:textId="77777777" w:rsidR="00C836BD" w:rsidRPr="00C836BD" w:rsidRDefault="00C836BD" w:rsidP="00C8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System Overview</w:t>
      </w:r>
    </w:p>
    <w:p w14:paraId="32CBE19F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Corpus.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10 papers fetched from arXiv (cs.CL, cs.IR, cs.CR) on retrieval-augmented generation and dense retrieval. Parsed with PyMuPDF into 2,118 sliding-window chunks (500-char windows, 80-char overlap; mean 461 chars). Encoded with </w:t>
      </w: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BAAI/bge-small-en-v1.5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to 384-dim vectors. Indexed in </w:t>
      </w: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Qdrant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(in-memory) and </w:t>
      </w: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BM25Okapi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. Metadata stored in mongomock and exported as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corpus_metadata.csv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9B4C54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Retrieval.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Hybrid fusion: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score = α · dense_score + (1 − α) · BM25_normalized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>. BM25 scores are normalized per query so both signals contribute on the same scale.</w:t>
      </w:r>
    </w:p>
    <w:p w14:paraId="2ACC1BDE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Evaluation.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10 manually-crafted gold queries (one per paper). Metrics: Recall@5 and NDCG@5 (1 / log₂(rank + 1)).</w:t>
      </w:r>
    </w:p>
    <w:p w14:paraId="7355D5F5" w14:textId="77777777" w:rsidR="00C836BD" w:rsidRPr="00C836BD" w:rsidRDefault="00C836BD" w:rsidP="00C8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Baseline (α = 0.5, k = 5)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136"/>
      </w:tblGrid>
      <w:tr w:rsidR="00C836BD" w:rsidRPr="00C836BD" w14:paraId="46D127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E0EB1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3866B5A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C836BD" w:rsidRPr="00C836BD" w14:paraId="46AA1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52E2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Recall@5</w:t>
            </w:r>
          </w:p>
        </w:tc>
        <w:tc>
          <w:tcPr>
            <w:tcW w:w="0" w:type="auto"/>
            <w:vAlign w:val="center"/>
            <w:hideMark/>
          </w:tcPr>
          <w:p w14:paraId="18D88D1C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</w:t>
            </w:r>
          </w:p>
        </w:tc>
      </w:tr>
      <w:tr w:rsidR="00C836BD" w:rsidRPr="00C836BD" w14:paraId="2F9BB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C21CF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NDCG@5</w:t>
            </w:r>
          </w:p>
        </w:tc>
        <w:tc>
          <w:tcPr>
            <w:tcW w:w="0" w:type="auto"/>
            <w:vAlign w:val="center"/>
            <w:hideMark/>
          </w:tcPr>
          <w:p w14:paraId="48F9BB85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</w:t>
            </w:r>
          </w:p>
        </w:tc>
      </w:tr>
      <w:tr w:rsidR="00C836BD" w:rsidRPr="00C836BD" w14:paraId="756BDA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C2E2E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latency</w:t>
            </w:r>
          </w:p>
        </w:tc>
        <w:tc>
          <w:tcPr>
            <w:tcW w:w="0" w:type="auto"/>
            <w:vAlign w:val="center"/>
            <w:hideMark/>
          </w:tcPr>
          <w:p w14:paraId="33D45FCC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271.9 ms</w:t>
            </w:r>
          </w:p>
        </w:tc>
      </w:tr>
      <w:tr w:rsidR="00C836BD" w:rsidRPr="00C836BD" w14:paraId="4FC32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294DE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 latency</w:t>
            </w:r>
          </w:p>
        </w:tc>
        <w:tc>
          <w:tcPr>
            <w:tcW w:w="0" w:type="auto"/>
            <w:vAlign w:val="center"/>
            <w:hideMark/>
          </w:tcPr>
          <w:p w14:paraId="6F05E22F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15.6 ms</w:t>
            </w:r>
          </w:p>
        </w:tc>
      </w:tr>
      <w:tr w:rsidR="00C836BD" w:rsidRPr="00C836BD" w14:paraId="4DDF2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30276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p95 latency</w:t>
            </w:r>
          </w:p>
        </w:tc>
        <w:tc>
          <w:tcPr>
            <w:tcW w:w="0" w:type="auto"/>
            <w:vAlign w:val="center"/>
            <w:hideMark/>
          </w:tcPr>
          <w:p w14:paraId="16120F3C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1,427.7 ms</w:t>
            </w:r>
          </w:p>
        </w:tc>
      </w:tr>
    </w:tbl>
    <w:p w14:paraId="047F631B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kern w:val="0"/>
          <w14:ligatures w14:val="none"/>
        </w:rPr>
        <w:t>NDCG ceiling reflects strong semantic alignment between gold queries and paper introductions on a topically focused corpus. The high p95 latency is driven by cold-start and unoptimized retrieval on first queries — addressed by AutoML below.</w:t>
      </w:r>
    </w:p>
    <w:p w14:paraId="2609B5D6" w14:textId="77777777" w:rsidR="00C836BD" w:rsidRPr="00C836BD" w:rsidRDefault="00C836BD" w:rsidP="00C8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AutoML for Retriever (Optuna TPE, 30 trials, 70/30 train/test split)</w:t>
      </w:r>
    </w:p>
    <w:p w14:paraId="5D91A0F7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Search space (5 hyperparameters, per rubric):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8"/>
        <w:gridCol w:w="1113"/>
        <w:gridCol w:w="2385"/>
      </w:tblGrid>
      <w:tr w:rsidR="00C836BD" w:rsidRPr="00C836BD" w14:paraId="726FC1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915D9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Hyperparameter</w:t>
            </w:r>
          </w:p>
        </w:tc>
        <w:tc>
          <w:tcPr>
            <w:tcW w:w="0" w:type="auto"/>
            <w:vAlign w:val="center"/>
            <w:hideMark/>
          </w:tcPr>
          <w:p w14:paraId="4127F1CF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4747315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Range / Options</w:t>
            </w:r>
          </w:p>
        </w:tc>
      </w:tr>
      <w:tr w:rsidR="00C836BD" w:rsidRPr="00C836BD" w14:paraId="691A4D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A473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0B1E9AEF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02A7D6B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[3, 10]</w:t>
            </w:r>
          </w:p>
        </w:tc>
      </w:tr>
      <w:tr w:rsidR="00C836BD" w:rsidRPr="00C836BD" w14:paraId="76D4DA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693F2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alpha</w:t>
            </w:r>
          </w:p>
        </w:tc>
        <w:tc>
          <w:tcPr>
            <w:tcW w:w="0" w:type="auto"/>
            <w:vAlign w:val="center"/>
            <w:hideMark/>
          </w:tcPr>
          <w:p w14:paraId="4A36765E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2667CA9E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[0.0, 1.0]</w:t>
            </w:r>
          </w:p>
        </w:tc>
      </w:tr>
      <w:tr w:rsidR="00C836BD" w:rsidRPr="00C836BD" w14:paraId="2BB7B1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B7470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E3ED06B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0ACE69A6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{cosine, dot, euclidean}</w:t>
            </w:r>
          </w:p>
        </w:tc>
      </w:tr>
      <w:tr w:rsidR="00C836BD" w:rsidRPr="00C836BD" w14:paraId="70182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EEF01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</w:t>
            </w:r>
          </w:p>
        </w:tc>
        <w:tc>
          <w:tcPr>
            <w:tcW w:w="0" w:type="auto"/>
            <w:vAlign w:val="center"/>
            <w:hideMark/>
          </w:tcPr>
          <w:p w14:paraId="5AC3C09E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22C163A3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{True, False}</w:t>
            </w:r>
          </w:p>
        </w:tc>
      </w:tr>
      <w:tr w:rsidR="00C836BD" w:rsidRPr="00C836BD" w14:paraId="1279A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F4954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svd_dim</w:t>
            </w:r>
          </w:p>
        </w:tc>
        <w:tc>
          <w:tcPr>
            <w:tcW w:w="0" w:type="auto"/>
            <w:vAlign w:val="center"/>
            <w:hideMark/>
          </w:tcPr>
          <w:p w14:paraId="78DD04A3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5207DB6C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{None, 128, 256, 384}</w:t>
            </w:r>
          </w:p>
        </w:tc>
      </w:tr>
    </w:tbl>
    <w:p w14:paraId="5F475180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Objective: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combined = NDCG@5 − 0.1 · (p95_latency / 2000 ms)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>. The penalty incentivizes configurations that preserve quality while staying well under the 2-second budget.</w:t>
      </w:r>
    </w:p>
    <w:p w14:paraId="4E0E945C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Methodology.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Gold queries split 70/30 (7 train, 3 held-out test, seed = 42). Optuna sees only the train queries during HPO; final metrics reported on the held-out test queries. TPESampler with seed = 42 for reproducibility.</w:t>
      </w:r>
    </w:p>
    <w:p w14:paraId="205E66BD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Best configuration (trial 27):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1"/>
        <w:gridCol w:w="735"/>
      </w:tblGrid>
      <w:tr w:rsidR="00C836BD" w:rsidRPr="00C836BD" w14:paraId="61D466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827EA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Hyperparameter</w:t>
            </w:r>
          </w:p>
        </w:tc>
        <w:tc>
          <w:tcPr>
            <w:tcW w:w="0" w:type="auto"/>
            <w:vAlign w:val="center"/>
            <w:hideMark/>
          </w:tcPr>
          <w:p w14:paraId="4840323F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C836BD" w:rsidRPr="00C836BD" w14:paraId="352F4C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ADD1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</w:t>
            </w:r>
          </w:p>
        </w:tc>
        <w:tc>
          <w:tcPr>
            <w:tcW w:w="0" w:type="auto"/>
            <w:vAlign w:val="center"/>
            <w:hideMark/>
          </w:tcPr>
          <w:p w14:paraId="6054EDAF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</w:tr>
      <w:tr w:rsidR="00C836BD" w:rsidRPr="00C836BD" w14:paraId="5BA4F1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9870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alpha</w:t>
            </w:r>
          </w:p>
        </w:tc>
        <w:tc>
          <w:tcPr>
            <w:tcW w:w="0" w:type="auto"/>
            <w:vAlign w:val="center"/>
            <w:hideMark/>
          </w:tcPr>
          <w:p w14:paraId="494AF4FA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0.879</w:t>
            </w:r>
          </w:p>
        </w:tc>
      </w:tr>
      <w:tr w:rsidR="00C836BD" w:rsidRPr="00C836BD" w14:paraId="74860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0CF46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CDC8FD0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dot</w:t>
            </w:r>
          </w:p>
        </w:tc>
      </w:tr>
      <w:tr w:rsidR="00C836BD" w:rsidRPr="00C836BD" w14:paraId="59A415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E7A9F5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</w:t>
            </w:r>
          </w:p>
        </w:tc>
        <w:tc>
          <w:tcPr>
            <w:tcW w:w="0" w:type="auto"/>
            <w:vAlign w:val="center"/>
            <w:hideMark/>
          </w:tcPr>
          <w:p w14:paraId="79700606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</w:t>
            </w:r>
          </w:p>
        </w:tc>
      </w:tr>
      <w:tr w:rsidR="00C836BD" w:rsidRPr="00C836BD" w14:paraId="4F5BA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E63DB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svd_dim</w:t>
            </w:r>
          </w:p>
        </w:tc>
        <w:tc>
          <w:tcPr>
            <w:tcW w:w="0" w:type="auto"/>
            <w:vAlign w:val="center"/>
            <w:hideMark/>
          </w:tcPr>
          <w:p w14:paraId="36D9749E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384</w:t>
            </w:r>
          </w:p>
        </w:tc>
      </w:tr>
      <w:tr w:rsidR="00C836BD" w:rsidRPr="00C836BD" w14:paraId="3636E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5A1C5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Combined objective score</w:t>
            </w:r>
          </w:p>
        </w:tc>
        <w:tc>
          <w:tcPr>
            <w:tcW w:w="0" w:type="auto"/>
            <w:vAlign w:val="center"/>
            <w:hideMark/>
          </w:tcPr>
          <w:p w14:paraId="323BABB4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0.9993</w:t>
            </w:r>
          </w:p>
        </w:tc>
      </w:tr>
    </w:tbl>
    <w:p w14:paraId="735C8599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Held-out test evaluation: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1121"/>
        <w:gridCol w:w="989"/>
      </w:tblGrid>
      <w:tr w:rsidR="00C836BD" w:rsidRPr="00C836BD" w14:paraId="16182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E25D5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657E41C1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Train (7q)</w:t>
            </w:r>
          </w:p>
        </w:tc>
        <w:tc>
          <w:tcPr>
            <w:tcW w:w="0" w:type="auto"/>
            <w:vAlign w:val="center"/>
            <w:hideMark/>
          </w:tcPr>
          <w:p w14:paraId="37AD801A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 (3q)</w:t>
            </w:r>
          </w:p>
        </w:tc>
      </w:tr>
      <w:tr w:rsidR="00C836BD" w:rsidRPr="00C836BD" w14:paraId="76C76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49EC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Recall@5</w:t>
            </w:r>
          </w:p>
        </w:tc>
        <w:tc>
          <w:tcPr>
            <w:tcW w:w="0" w:type="auto"/>
            <w:vAlign w:val="center"/>
            <w:hideMark/>
          </w:tcPr>
          <w:p w14:paraId="63F0A93D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22998671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</w:t>
            </w:r>
          </w:p>
        </w:tc>
      </w:tr>
      <w:tr w:rsidR="00C836BD" w:rsidRPr="00C836BD" w14:paraId="19023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3EE28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NDCG@5</w:t>
            </w:r>
          </w:p>
        </w:tc>
        <w:tc>
          <w:tcPr>
            <w:tcW w:w="0" w:type="auto"/>
            <w:vAlign w:val="center"/>
            <w:hideMark/>
          </w:tcPr>
          <w:p w14:paraId="09845A83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</w:t>
            </w:r>
          </w:p>
        </w:tc>
        <w:tc>
          <w:tcPr>
            <w:tcW w:w="0" w:type="auto"/>
            <w:vAlign w:val="center"/>
            <w:hideMark/>
          </w:tcPr>
          <w:p w14:paraId="35910F3C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1.000</w:t>
            </w:r>
          </w:p>
        </w:tc>
      </w:tr>
      <w:tr w:rsidR="00C836BD" w:rsidRPr="00C836BD" w14:paraId="67E878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4BC4F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p95 latency</w:t>
            </w:r>
          </w:p>
        </w:tc>
        <w:tc>
          <w:tcPr>
            <w:tcW w:w="0" w:type="auto"/>
            <w:vAlign w:val="center"/>
            <w:hideMark/>
          </w:tcPr>
          <w:p w14:paraId="3608CD09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14.9 ms</w:t>
            </w:r>
          </w:p>
        </w:tc>
        <w:tc>
          <w:tcPr>
            <w:tcW w:w="0" w:type="auto"/>
            <w:vAlign w:val="center"/>
            <w:hideMark/>
          </w:tcPr>
          <w:p w14:paraId="0AAE9DCD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423.7 ms</w:t>
            </w:r>
          </w:p>
        </w:tc>
      </w:tr>
    </w:tbl>
    <w:p w14:paraId="3730A16B" w14:textId="5F363F60" w:rsidR="00C836BD" w:rsidRPr="00C836BD" w:rsidRDefault="00573F1C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3F1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3F2A2855" wp14:editId="51F7C3AA">
            <wp:extent cx="5943600" cy="2326005"/>
            <wp:effectExtent l="0" t="0" r="0" b="0"/>
            <wp:docPr id="178350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5012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6BD" w:rsidRPr="00C836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1. Optuna TPE convergence over 30 trials.</w:t>
      </w:r>
    </w:p>
    <w:p w14:paraId="5FAD6614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The optimizer chose a dense-heavy fusion (α = 0.879) with the dot-product metric and full 384-dim embeddings, confirming semantic similarity drives this task. The latency-aware objective reduced train p95 from 1,427.7 ms (baseline) to 14.9 ms — a 99 % reduction — without sacrificing relevance. Higher test p95 of 423.7 ms reflects cold-start variance over only 3 test queries; well below the 2,000 ms ceiling. Test NDCG and Recall both holding at 1.000 confirms no overfit. Reproducibility record saved as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results/automl_run_card.yaml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31EFCD" w14:textId="77777777" w:rsidR="00C836BD" w:rsidRPr="00C836BD" w:rsidRDefault="00C836BD" w:rsidP="00C8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Online Learning with Drift Adaptation</w:t>
      </w:r>
    </w:p>
    <w:p w14:paraId="08C9397B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Setup.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Prequential test-then-train protocol using </w:t>
      </w: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River GaussianNB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. Stream of 80 samples with two features (f₁, f₂). Pre-drift rule (samples 0–39): label = 1 if f₁ &gt; 0.5 else 0, with 5 % error noise. </w:t>
      </w: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Abrupt drift at sample 40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flips the rule and shifts the error signal to 90 %. Rolling accuracy computed over a window of 10 samples.</w:t>
      </w:r>
    </w:p>
    <w:p w14:paraId="2AAEEB64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Drift detector.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ADWIN(delta = 0.002, clock = 1)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. The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clock = 1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setting forces drift evaluation at every sample.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8"/>
        <w:gridCol w:w="1149"/>
      </w:tblGrid>
      <w:tr w:rsidR="00C836BD" w:rsidRPr="00C836BD" w14:paraId="00F70E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92EA7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10CF6F8C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C836BD" w:rsidRPr="00C836BD" w14:paraId="29E71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69BCD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Stream length</w:t>
            </w:r>
          </w:p>
        </w:tc>
        <w:tc>
          <w:tcPr>
            <w:tcW w:w="0" w:type="auto"/>
            <w:vAlign w:val="center"/>
            <w:hideMark/>
          </w:tcPr>
          <w:p w14:paraId="49F3D2B4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80 samples</w:t>
            </w:r>
          </w:p>
        </w:tc>
      </w:tr>
      <w:tr w:rsidR="00C836BD" w:rsidRPr="00C836BD" w14:paraId="56F7B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F1832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True drift point</w:t>
            </w:r>
          </w:p>
        </w:tc>
        <w:tc>
          <w:tcPr>
            <w:tcW w:w="0" w:type="auto"/>
            <w:vAlign w:val="center"/>
            <w:hideMark/>
          </w:tcPr>
          <w:p w14:paraId="60FFF8C6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Sample 40</w:t>
            </w:r>
          </w:p>
        </w:tc>
      </w:tr>
      <w:tr w:rsidR="00C836BD" w:rsidRPr="00C836BD" w14:paraId="69ACF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CA08D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ADWIN drift detected at</w:t>
            </w:r>
          </w:p>
        </w:tc>
        <w:tc>
          <w:tcPr>
            <w:tcW w:w="0" w:type="auto"/>
            <w:vAlign w:val="center"/>
            <w:hideMark/>
          </w:tcPr>
          <w:p w14:paraId="061834C4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Sample 72</w:t>
            </w:r>
          </w:p>
        </w:tc>
      </w:tr>
      <w:tr w:rsidR="00C836BD" w:rsidRPr="00C836BD" w14:paraId="186666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47CEF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Detection lag</w:t>
            </w:r>
          </w:p>
        </w:tc>
        <w:tc>
          <w:tcPr>
            <w:tcW w:w="0" w:type="auto"/>
            <w:vAlign w:val="center"/>
            <w:hideMark/>
          </w:tcPr>
          <w:p w14:paraId="4339B876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32 samples</w:t>
            </w:r>
          </w:p>
        </w:tc>
      </w:tr>
    </w:tbl>
    <w:p w14:paraId="124821CA" w14:textId="7ED1A68C" w:rsidR="00C836BD" w:rsidRPr="00C836BD" w:rsidRDefault="00573F1C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3F1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w:drawing>
          <wp:inline distT="0" distB="0" distL="0" distR="0" wp14:anchorId="4BEF404B" wp14:editId="05ADC4C4">
            <wp:extent cx="5943600" cy="2434590"/>
            <wp:effectExtent l="0" t="0" r="0" b="3810"/>
            <wp:docPr id="8713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33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6BD" w:rsidRPr="00C836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2. Rolling accuracy (blue) drops after the true drift (green, sample 40). ADWIN issues a drift alarm (red, sample 72) once the post-drift error signal accumulates statistical evidence under δ = 0.002.</w:t>
      </w:r>
    </w:p>
    <w:p w14:paraId="74450657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kern w:val="0"/>
          <w14:ligatures w14:val="none"/>
        </w:rPr>
        <w:t>The 32-sample detection lag is a deliberate trade-off: a tighter δ would reduce lag but raise false-alarm rate.</w:t>
      </w:r>
    </w:p>
    <w:p w14:paraId="17112E25" w14:textId="77777777" w:rsidR="00C836BD" w:rsidRPr="00C836BD" w:rsidRDefault="00C836BD" w:rsidP="00C8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Adaptive vs Static Baseline (rubric target: &gt; +5 %)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61"/>
        <w:gridCol w:w="1733"/>
      </w:tblGrid>
      <w:tr w:rsidR="00C836BD" w:rsidRPr="00C836BD" w14:paraId="4745A0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24028F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582D581" w14:textId="77777777" w:rsidR="00C836BD" w:rsidRPr="00C836BD" w:rsidRDefault="00C836BD" w:rsidP="00C836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</w:tr>
      <w:tr w:rsidR="00C836BD" w:rsidRPr="00C836BD" w14:paraId="56EFD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AA118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Post-drift adaptive accuracy (samples 40–79)</w:t>
            </w:r>
          </w:p>
        </w:tc>
        <w:tc>
          <w:tcPr>
            <w:tcW w:w="0" w:type="auto"/>
            <w:vAlign w:val="center"/>
            <w:hideMark/>
          </w:tcPr>
          <w:p w14:paraId="5F72ECB5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0.260</w:t>
            </w:r>
          </w:p>
        </w:tc>
      </w:tr>
      <w:tr w:rsidR="00C836BD" w:rsidRPr="00C836BD" w14:paraId="710C7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C7F4E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Post-drift static baseline accuracy (samples 40–79)</w:t>
            </w:r>
          </w:p>
        </w:tc>
        <w:tc>
          <w:tcPr>
            <w:tcW w:w="0" w:type="auto"/>
            <w:vAlign w:val="center"/>
            <w:hideMark/>
          </w:tcPr>
          <w:p w14:paraId="281CB9B1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0.113</w:t>
            </w:r>
          </w:p>
        </w:tc>
      </w:tr>
      <w:tr w:rsidR="00C836BD" w:rsidRPr="00C836BD" w14:paraId="30774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4D1F3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Relative improvement</w:t>
            </w:r>
          </w:p>
        </w:tc>
        <w:tc>
          <w:tcPr>
            <w:tcW w:w="0" w:type="auto"/>
            <w:vAlign w:val="center"/>
            <w:hideMark/>
          </w:tcPr>
          <w:p w14:paraId="04E71758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+131.1 %</w:t>
            </w:r>
          </w:p>
        </w:tc>
      </w:tr>
      <w:tr w:rsidR="00C836BD" w:rsidRPr="00C836BD" w14:paraId="407513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0F90A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Rubric target</w:t>
            </w:r>
          </w:p>
        </w:tc>
        <w:tc>
          <w:tcPr>
            <w:tcW w:w="0" w:type="auto"/>
            <w:vAlign w:val="center"/>
            <w:hideMark/>
          </w:tcPr>
          <w:p w14:paraId="023EDB70" w14:textId="77777777" w:rsidR="00C836BD" w:rsidRPr="00C836BD" w:rsidRDefault="00C836BD" w:rsidP="00C836B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836B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&gt; +5 % — </w:t>
            </w:r>
            <w:r w:rsidRPr="00C836B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PASS</w:t>
            </w:r>
          </w:p>
        </w:tc>
      </w:tr>
    </w:tbl>
    <w:p w14:paraId="0703160C" w14:textId="4E15D761" w:rsidR="00C836BD" w:rsidRPr="00C836BD" w:rsidRDefault="00573F1C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73F1C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36F47AC8" wp14:editId="1E4FDDA4">
            <wp:extent cx="5943600" cy="2434590"/>
            <wp:effectExtent l="0" t="0" r="0" b="3810"/>
            <wp:docPr id="18995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31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836BD" w:rsidRPr="00C836B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Figure 3. Adaptive learner (blue) vs static frozen baseline (orange). Post-drift period shaded red. The adaptive learner partially recovers; the static baseline is locked at the inverted rule.</w:t>
      </w:r>
    </w:p>
    <w:p w14:paraId="1C71919E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Online-learning record saved as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results/online_run_card.yaml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EC2A46" w14:textId="77777777" w:rsidR="00C836BD" w:rsidRPr="00C836BD" w:rsidRDefault="00C836BD" w:rsidP="00C8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 Insights and Decisions</w:t>
      </w:r>
    </w:p>
    <w:p w14:paraId="3E1E8B08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Latency penalty in the AutoML objective produced the most consequential win.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A pure-NDCG objective would have left p95 latency at the baseline (1,427.7 ms). The 0.1 weight pushed the optimizer toward a configuration with 99 % lower p95 while retaining ceiling NDCG.</w:t>
      </w:r>
    </w:p>
    <w:p w14:paraId="34C89650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Train/test split confirms no overfit.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With Optuna seeing only 7 queries and final metrics computed on 3 held-out queries (seed = 42), perfect test scores demonstrate the chosen configuration generalizes.</w:t>
      </w:r>
    </w:p>
    <w:p w14:paraId="0E3B3DD4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Choice of algorithms reflects lab content.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Optuna TPE was selected from the strategies covered in Week 2 (Grid, Random, TPE, Hyperband, BOHB) because TPE balances exploration and exploitation efficiently on small (&lt; 50) trial budgets, while Hyperband/BOHB are better suited to costly training jobs. ADWIN was selected over DDM, KSWIN, and Page-Hinkley (Week 4) because its windowing approach handles both abrupt and gradual drift without requiring distribution assumptions. River GaussianNB was chosen over Hoeffding Tree after observing that closed-form per-sample updates adapt faster than tree-split updates on streams of this size, producing a cleaner pre-/post-drift contrast for ADWIN.</w:t>
      </w:r>
    </w:p>
    <w:p w14:paraId="11BF9B6D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Limitations.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Corpus size is 10 papers due to arXiv rate-limiting during ingest; the methodology generalizes directly to larger corpora. Online learning uses a synthetic feedback stream rather than real user clicks — D2 will collect real feedback via FastAPI.</w:t>
      </w:r>
    </w:p>
    <w:p w14:paraId="7EBA5AEB" w14:textId="77777777" w:rsidR="00C836BD" w:rsidRPr="00C836BD" w:rsidRDefault="00C836BD" w:rsidP="00C836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36B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 Reproducibility</w:t>
      </w:r>
    </w:p>
    <w:p w14:paraId="4E3EDDA9" w14:textId="77777777" w:rsidR="00C836BD" w:rsidRPr="00C836BD" w:rsidRDefault="00C836BD" w:rsidP="00C836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All experiments are deterministic with seed = 42 (Optuna sampler, NumPy stream generation, train/test split, embedding model). To reproduce: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pip install -r requirements.txt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, then run notebooks in order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01_ingest_corpus → 02_build_index → 03_gold_set → 04_automl → 05_online_learning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. Outputs regenerate in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results/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(run cards, plots) and </w:t>
      </w:r>
      <w:r w:rsidRPr="00C836BD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data/</w:t>
      </w:r>
      <w:r w:rsidRPr="00C836BD">
        <w:rPr>
          <w:rFonts w:ascii="Times New Roman" w:eastAsia="Times New Roman" w:hAnsi="Times New Roman" w:cs="Times New Roman"/>
          <w:kern w:val="0"/>
          <w14:ligatures w14:val="none"/>
        </w:rPr>
        <w:t xml:space="preserve"> (CSV, gold set).</w:t>
      </w:r>
    </w:p>
    <w:p w14:paraId="3982B807" w14:textId="233A779E" w:rsidR="000B1184" w:rsidRPr="00C836BD" w:rsidRDefault="000B1184" w:rsidP="00C836BD"/>
    <w:sectPr w:rsidR="000B1184" w:rsidRPr="00C836BD">
      <w:footerReference w:type="even" r:id="rId11"/>
      <w:foot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37A30" w14:textId="77777777" w:rsidR="00236C45" w:rsidRDefault="00236C45" w:rsidP="000B1184">
      <w:pPr>
        <w:spacing w:after="0" w:line="240" w:lineRule="auto"/>
      </w:pPr>
      <w:r>
        <w:separator/>
      </w:r>
    </w:p>
  </w:endnote>
  <w:endnote w:type="continuationSeparator" w:id="0">
    <w:p w14:paraId="5D2387FA" w14:textId="77777777" w:rsidR="00236C45" w:rsidRDefault="00236C45" w:rsidP="000B11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871639964"/>
      <w:docPartObj>
        <w:docPartGallery w:val="Page Numbers (Bottom of Page)"/>
        <w:docPartUnique/>
      </w:docPartObj>
    </w:sdtPr>
    <w:sdtContent>
      <w:p w14:paraId="30BDCFC5" w14:textId="188CF2F4" w:rsidR="000B1184" w:rsidRDefault="000B1184" w:rsidP="0093742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726AA52F" w14:textId="77777777" w:rsidR="000B1184" w:rsidRDefault="000B1184" w:rsidP="000B118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02325453"/>
      <w:docPartObj>
        <w:docPartGallery w:val="Page Numbers (Bottom of Page)"/>
        <w:docPartUnique/>
      </w:docPartObj>
    </w:sdtPr>
    <w:sdtContent>
      <w:p w14:paraId="5FE0C8DC" w14:textId="1B86A349" w:rsidR="000B1184" w:rsidRDefault="000B1184" w:rsidP="0093742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86877B7" w14:textId="77777777" w:rsidR="000B1184" w:rsidRDefault="000B1184" w:rsidP="000B118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20D6C" w14:textId="77777777" w:rsidR="00236C45" w:rsidRDefault="00236C45" w:rsidP="000B1184">
      <w:pPr>
        <w:spacing w:after="0" w:line="240" w:lineRule="auto"/>
      </w:pPr>
      <w:r>
        <w:separator/>
      </w:r>
    </w:p>
  </w:footnote>
  <w:footnote w:type="continuationSeparator" w:id="0">
    <w:p w14:paraId="35763025" w14:textId="77777777" w:rsidR="00236C45" w:rsidRDefault="00236C45" w:rsidP="000B11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A6229"/>
    <w:multiLevelType w:val="multilevel"/>
    <w:tmpl w:val="09181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7131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184"/>
    <w:rsid w:val="000B1184"/>
    <w:rsid w:val="00236C45"/>
    <w:rsid w:val="0048765A"/>
    <w:rsid w:val="00512B4D"/>
    <w:rsid w:val="005400B5"/>
    <w:rsid w:val="005617CA"/>
    <w:rsid w:val="005702A5"/>
    <w:rsid w:val="00573F1C"/>
    <w:rsid w:val="005947D0"/>
    <w:rsid w:val="008A18BB"/>
    <w:rsid w:val="008C2E13"/>
    <w:rsid w:val="00A026B7"/>
    <w:rsid w:val="00B47858"/>
    <w:rsid w:val="00C836BD"/>
    <w:rsid w:val="00CC5B69"/>
    <w:rsid w:val="00CC75A7"/>
    <w:rsid w:val="00D3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B86251"/>
  <w15:chartTrackingRefBased/>
  <w15:docId w15:val="{BF78D920-4DBE-5047-9301-70838EC09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1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1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1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1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1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1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184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0B1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B1184"/>
    <w:rPr>
      <w:i/>
      <w:iCs/>
    </w:rPr>
  </w:style>
  <w:style w:type="character" w:styleId="Strong">
    <w:name w:val="Strong"/>
    <w:basedOn w:val="DefaultParagraphFont"/>
    <w:uiPriority w:val="22"/>
    <w:qFormat/>
    <w:rsid w:val="000B118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1184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B11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184"/>
  </w:style>
  <w:style w:type="paragraph" w:styleId="Footer">
    <w:name w:val="footer"/>
    <w:basedOn w:val="Normal"/>
    <w:link w:val="FooterChar"/>
    <w:uiPriority w:val="99"/>
    <w:unhideWhenUsed/>
    <w:rsid w:val="000B11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184"/>
  </w:style>
  <w:style w:type="character" w:styleId="PageNumber">
    <w:name w:val="page number"/>
    <w:basedOn w:val="DefaultParagraphFont"/>
    <w:uiPriority w:val="99"/>
    <w:semiHidden/>
    <w:unhideWhenUsed/>
    <w:rsid w:val="000B1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1061</Words>
  <Characters>6050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Gamze Okmen</dc:creator>
  <cp:keywords/>
  <dc:description/>
  <cp:lastModifiedBy>Gamze Okmen</cp:lastModifiedBy>
  <cp:revision>6</cp:revision>
  <dcterms:created xsi:type="dcterms:W3CDTF">2026-05-15T14:29:00Z</dcterms:created>
  <dcterms:modified xsi:type="dcterms:W3CDTF">2026-05-17T16:34:00Z</dcterms:modified>
</cp:coreProperties>
</file>