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5240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  <w:r w:rsidRPr="004A5F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7F8CBE3" wp14:editId="2EB28BC6">
            <wp:simplePos x="0" y="0"/>
            <wp:positionH relativeFrom="column">
              <wp:posOffset>931545</wp:posOffset>
            </wp:positionH>
            <wp:positionV relativeFrom="paragraph">
              <wp:posOffset>0</wp:posOffset>
            </wp:positionV>
            <wp:extent cx="4570730" cy="1003935"/>
            <wp:effectExtent l="0" t="0" r="0" b="0"/>
            <wp:wrapThrough wrapText="bothSides">
              <wp:wrapPolygon edited="0">
                <wp:start x="9123" y="2186"/>
                <wp:lineTo x="3961" y="3006"/>
                <wp:lineTo x="3421" y="3279"/>
                <wp:lineTo x="3421" y="7104"/>
                <wp:lineTo x="1560" y="7651"/>
                <wp:lineTo x="240" y="9564"/>
                <wp:lineTo x="240" y="13662"/>
                <wp:lineTo x="3781" y="15848"/>
                <wp:lineTo x="4321" y="15848"/>
                <wp:lineTo x="4321" y="19400"/>
                <wp:lineTo x="9123" y="20493"/>
                <wp:lineTo x="13144" y="20493"/>
                <wp:lineTo x="15484" y="19947"/>
                <wp:lineTo x="17705" y="18034"/>
                <wp:lineTo x="17585" y="15848"/>
                <wp:lineTo x="20166" y="15848"/>
                <wp:lineTo x="21426" y="14482"/>
                <wp:lineTo x="21486" y="9837"/>
                <wp:lineTo x="20286" y="9017"/>
                <wp:lineTo x="15604" y="6285"/>
                <wp:lineTo x="14464" y="4099"/>
                <wp:lineTo x="13144" y="2186"/>
                <wp:lineTo x="9123" y="2186"/>
              </wp:wrapPolygon>
            </wp:wrapThrough>
            <wp:docPr id="6" name="Picture 5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0055341-7B94-278B-3099-5B7E9940EC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40055341-7B94-278B-3099-5B7E9940EC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71E8B" w14:textId="77777777" w:rsidR="00A026B7" w:rsidRDefault="00A026B7" w:rsidP="00A026B7">
      <w:pPr>
        <w:spacing w:line="592" w:lineRule="auto"/>
        <w:ind w:right="2368"/>
        <w:rPr>
          <w:rFonts w:ascii="Times New Roman" w:hAnsi="Times New Roman" w:cs="Times New Roman"/>
          <w:b/>
        </w:rPr>
      </w:pPr>
    </w:p>
    <w:p w14:paraId="2F8B844D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</w:p>
    <w:p w14:paraId="165F5498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</w:p>
    <w:p w14:paraId="623CFDCB" w14:textId="3412F3EE" w:rsidR="00A026B7" w:rsidRDefault="005400B5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Special Topic in AI</w:t>
      </w:r>
      <w:r w:rsidR="00A026B7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Report Deliverable 1</w:t>
      </w:r>
    </w:p>
    <w:p w14:paraId="58E145E3" w14:textId="0044006F" w:rsidR="00A026B7" w:rsidRPr="005400B5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700EA">
        <w:rPr>
          <w:rFonts w:ascii="Times New Roman" w:hAnsi="Times New Roman" w:cs="Times New Roman"/>
        </w:rPr>
        <w:t xml:space="preserve"> </w:t>
      </w:r>
      <w:r w:rsidR="005400B5" w:rsidRPr="005400B5">
        <w:rPr>
          <w:rFonts w:ascii="Times New Roman" w:hAnsi="Times New Roman" w:cs="Times New Roman"/>
        </w:rPr>
        <w:t>CSAI415_APR26 - Special Topics in AI</w:t>
      </w:r>
    </w:p>
    <w:p w14:paraId="5542F9F1" w14:textId="77777777" w:rsidR="00A026B7" w:rsidRPr="004A5F49" w:rsidRDefault="00A026B7" w:rsidP="00A026B7">
      <w:pPr>
        <w:bidi/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  <w:r w:rsidRPr="004A5F49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Spring</w:t>
      </w:r>
      <w:r w:rsidRPr="004A5F49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4A5F49">
        <w:rPr>
          <w:rFonts w:ascii="Times New Roman" w:hAnsi="Times New Roman" w:cs="Times New Roman"/>
        </w:rPr>
        <w:t>’</w:t>
      </w:r>
    </w:p>
    <w:p w14:paraId="057B82A6" w14:textId="39F88A6F" w:rsidR="00A026B7" w:rsidRPr="004A5F49" w:rsidRDefault="00A026B7" w:rsidP="00A026B7">
      <w:pPr>
        <w:bidi/>
        <w:spacing w:line="590" w:lineRule="auto"/>
        <w:ind w:left="3007" w:right="3281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Report</w:t>
      </w:r>
      <w:r w:rsidRPr="004A5F49">
        <w:rPr>
          <w:rFonts w:ascii="Times New Roman" w:hAnsi="Times New Roman" w:cs="Times New Roman"/>
        </w:rPr>
        <w:t>:</w:t>
      </w:r>
      <w:r w:rsidRPr="004A5F49">
        <w:rPr>
          <w:rFonts w:ascii="Times New Roman" w:hAnsi="Times New Roman" w:cs="Times New Roman"/>
          <w:spacing w:val="-15"/>
        </w:rPr>
        <w:t xml:space="preserve"> </w:t>
      </w:r>
      <w:r w:rsidRPr="004A5F49">
        <w:rPr>
          <w:rFonts w:ascii="Times New Roman" w:hAnsi="Times New Roman" w:cs="Times New Roman"/>
        </w:rPr>
        <w:t xml:space="preserve">Week </w:t>
      </w:r>
      <w:r w:rsidR="005400B5">
        <w:rPr>
          <w:rFonts w:ascii="Times New Roman" w:hAnsi="Times New Roman" w:cs="Times New Roman"/>
          <w:lang w:val="en-US"/>
        </w:rPr>
        <w:t>5</w:t>
      </w:r>
      <w:r w:rsidRPr="004A5F49">
        <w:rPr>
          <w:rFonts w:ascii="Times New Roman" w:hAnsi="Times New Roman" w:cs="Times New Roman"/>
        </w:rPr>
        <w:t xml:space="preserve">’ </w:t>
      </w:r>
    </w:p>
    <w:p w14:paraId="6E4FC396" w14:textId="77777777" w:rsidR="00A026B7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Gamze Okmen (22001694)</w:t>
      </w:r>
      <w:r>
        <w:rPr>
          <w:rFonts w:ascii="Times New Roman" w:hAnsi="Times New Roman" w:cs="Times New Roman"/>
        </w:rPr>
        <w:t xml:space="preserve">, 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Kenan Almukhllati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2200067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5), 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Alfarouq Alsharif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22000440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0F54EC" w14:textId="77777777" w:rsidR="00A026B7" w:rsidRPr="0007536F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996DFD">
        <w:rPr>
          <w:rFonts w:ascii="Times New Roman" w:hAnsi="Times New Roman" w:cs="Times New Roman"/>
        </w:rPr>
        <w:t>“</w:t>
      </w:r>
      <w:r w:rsidRPr="004700EA">
        <w:rPr>
          <w:rFonts w:ascii="Times New Roman" w:hAnsi="Times New Roman" w:cs="Times New Roman"/>
        </w:rPr>
        <w:t>Analysis of a Real-World Robot System</w:t>
      </w:r>
      <w:r>
        <w:rPr>
          <w:rFonts w:ascii="Times New Roman" w:hAnsi="Times New Roman" w:cs="Times New Roman"/>
        </w:rPr>
        <w:t xml:space="preserve"> (</w:t>
      </w:r>
      <w:r w:rsidRPr="004700EA">
        <w:rPr>
          <w:rFonts w:ascii="Times New Roman" w:hAnsi="Times New Roman" w:cs="Times New Roman"/>
        </w:rPr>
        <w:t>Boston Dynamics Atlas</w:t>
      </w:r>
      <w:r>
        <w:rPr>
          <w:rFonts w:ascii="Times New Roman" w:hAnsi="Times New Roman" w:cs="Times New Roman"/>
        </w:rPr>
        <w:t>)</w:t>
      </w:r>
      <w:r w:rsidRPr="00996DFD">
        <w:rPr>
          <w:rFonts w:ascii="Times New Roman" w:hAnsi="Times New Roman" w:cs="Times New Roman"/>
        </w:rPr>
        <w:t>”</w:t>
      </w:r>
    </w:p>
    <w:p w14:paraId="383985C7" w14:textId="77777777" w:rsidR="00A026B7" w:rsidRPr="004A5F49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Department</w:t>
      </w:r>
      <w:r w:rsidRPr="004A5F49">
        <w:rPr>
          <w:rFonts w:ascii="Times New Roman" w:hAnsi="Times New Roman" w:cs="Times New Roman"/>
          <w:spacing w:val="-2"/>
        </w:rPr>
        <w:t xml:space="preserve"> </w:t>
      </w:r>
      <w:r w:rsidRPr="004A5F49">
        <w:rPr>
          <w:rFonts w:ascii="Times New Roman" w:hAnsi="Times New Roman" w:cs="Times New Roman"/>
        </w:rPr>
        <w:t>of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Artificial Intelligence</w:t>
      </w:r>
      <w:r>
        <w:rPr>
          <w:rFonts w:ascii="Times New Roman" w:hAnsi="Times New Roman" w:cs="Times New Roman"/>
        </w:rPr>
        <w:t xml:space="preserve">, </w:t>
      </w:r>
      <w:r w:rsidRPr="004A5F49">
        <w:rPr>
          <w:rFonts w:ascii="Times New Roman" w:hAnsi="Times New Roman" w:cs="Times New Roman"/>
        </w:rPr>
        <w:t>The</w:t>
      </w:r>
      <w:r w:rsidRPr="004A5F49">
        <w:rPr>
          <w:rFonts w:ascii="Times New Roman" w:hAnsi="Times New Roman" w:cs="Times New Roman"/>
          <w:spacing w:val="-6"/>
        </w:rPr>
        <w:t xml:space="preserve"> </w:t>
      </w:r>
      <w:r w:rsidRPr="004A5F49">
        <w:rPr>
          <w:rFonts w:ascii="Times New Roman" w:hAnsi="Times New Roman" w:cs="Times New Roman"/>
        </w:rPr>
        <w:t>British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University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in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 xml:space="preserve">Dubai </w:t>
      </w:r>
    </w:p>
    <w:p w14:paraId="5AA4018D" w14:textId="07BD5419" w:rsidR="00A026B7" w:rsidRDefault="005400B5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17</w:t>
      </w:r>
      <w:r w:rsidR="00A026B7" w:rsidRPr="004A5F49">
        <w:rPr>
          <w:rFonts w:ascii="Times New Roman" w:hAnsi="Times New Roman" w:cs="Times New Roman"/>
        </w:rPr>
        <w:t>, 202</w:t>
      </w:r>
      <w:r w:rsidR="00A026B7">
        <w:rPr>
          <w:rFonts w:ascii="Times New Roman" w:hAnsi="Times New Roman" w:cs="Times New Roman"/>
        </w:rPr>
        <w:t>6</w:t>
      </w:r>
    </w:p>
    <w:p w14:paraId="06034184" w14:textId="5FAC631C" w:rsidR="00A026B7" w:rsidRPr="00A026B7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‘S</w:t>
      </w:r>
      <w:r>
        <w:rPr>
          <w:rFonts w:ascii="Times New Roman" w:hAnsi="Times New Roman" w:cs="Times New Roman"/>
        </w:rPr>
        <w:t>ubmitted to</w:t>
      </w:r>
      <w:r w:rsidRPr="004A5F49">
        <w:rPr>
          <w:rFonts w:ascii="Times New Roman" w:hAnsi="Times New Roman" w:cs="Times New Roman"/>
        </w:rPr>
        <w:t>:</w:t>
      </w:r>
      <w:r w:rsidRPr="004A5F49">
        <w:rPr>
          <w:rFonts w:ascii="Times New Roman" w:hAnsi="Times New Roman" w:cs="Times New Roman"/>
          <w:spacing w:val="1"/>
        </w:rPr>
        <w:t xml:space="preserve"> </w:t>
      </w:r>
      <w:r w:rsidR="005400B5">
        <w:rPr>
          <w:rFonts w:ascii="Times New Roman" w:hAnsi="Times New Roman" w:cs="Times New Roman"/>
        </w:rPr>
        <w:t xml:space="preserve">Prof. </w:t>
      </w:r>
      <w:r w:rsidR="005400B5" w:rsidRPr="005400B5">
        <w:rPr>
          <w:rFonts w:ascii="Times New Roman" w:hAnsi="Times New Roman" w:cs="Times New Roman"/>
        </w:rPr>
        <w:t>Ahmed Awad</w:t>
      </w:r>
      <w:r w:rsidR="005400B5">
        <w:rPr>
          <w:rFonts w:ascii="Times New Roman" w:hAnsi="Times New Roman" w:cs="Times New Roman"/>
        </w:rPr>
        <w:t>’</w:t>
      </w:r>
    </w:p>
    <w:p w14:paraId="5664AFE5" w14:textId="77777777" w:rsidR="00A026B7" w:rsidRDefault="00A026B7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828E33" w14:textId="77777777" w:rsidR="00A026B7" w:rsidRDefault="00A026B7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A40A87" w14:textId="49961437" w:rsidR="00C836BD" w:rsidRPr="00C836BD" w:rsidRDefault="00C836BD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CSAI415 D1: AutoML and Online Learning for Paper RAG</w:t>
      </w:r>
    </w:p>
    <w:p w14:paraId="548006FA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4E988A46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We built a hybrid retrieval pipeline over 10 arXiv papers (Qdrant for dense embeddings, BM25 for sparse), then automated two layers of optimization. An Optuna TPE search over five retriever hyperparameters with a latency-aware objective and a 70/30 train/test split identified an optimal configuration achieving NDCG@5 = 1.000 on held-out test queries at p95 latency of 423.7 ms (well under the 2,000 ms rubric ceiling). A second component using River GaussianNB with ADWIN drift detection demonstrated correct prequential adaptation: ADWIN successfully detected an abrupt concept drift at sample 72, and the adaptive learner outperformed a frozen static baseline by +131.1 % on the post-drift segment (rubric target: &gt; +5 %). All three rubric baseline targets are exceeded.</w:t>
      </w:r>
    </w:p>
    <w:p w14:paraId="4CFD770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System Overview</w:t>
      </w:r>
    </w:p>
    <w:p w14:paraId="32CBE19F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10 papers fetched from arXiv (cs.CL, cs.IR, cs.CR) on retrieval-augmented generation and dense retrieval. Parsed with PyMuPDF into 2,118 sliding-window chunks (500-char windows, 80-char overlap; mean 461 chars). Encoded with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BAAI/bge-small-en-v1.5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to 384-dim vectors. Indexed in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Qdrant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(in-memory) and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BM25Okapi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Metadata stored in mongomock and exported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corpus_metadata.csv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B4C5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Hybrid fusion: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α · dense_score + (1 − α) · BM25_normalized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 BM25 scores are normalized per query so both signals contribute on the same scale.</w:t>
      </w:r>
    </w:p>
    <w:p w14:paraId="2ACC1BDE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10 manually-crafted gold queries (one per paper). Metrics: Recall@5 and NDCG@5 (1 / log₂(rank + 1)).</w:t>
      </w:r>
    </w:p>
    <w:p w14:paraId="7355D5F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Baseline (α = 0.5, k =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6"/>
      </w:tblGrid>
      <w:tr w:rsidR="00C836BD" w:rsidRPr="00C836BD" w14:paraId="46D12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E0EB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3866B5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46AA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52E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18D88D1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2F9B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21C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NDCG@5</w:t>
            </w:r>
          </w:p>
        </w:tc>
        <w:tc>
          <w:tcPr>
            <w:tcW w:w="0" w:type="auto"/>
            <w:vAlign w:val="center"/>
            <w:hideMark/>
          </w:tcPr>
          <w:p w14:paraId="48F9BB8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756B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2E2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latency</w:t>
            </w:r>
          </w:p>
        </w:tc>
        <w:tc>
          <w:tcPr>
            <w:tcW w:w="0" w:type="auto"/>
            <w:vAlign w:val="center"/>
            <w:hideMark/>
          </w:tcPr>
          <w:p w14:paraId="33D45FC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271.9 ms</w:t>
            </w:r>
          </w:p>
        </w:tc>
      </w:tr>
      <w:tr w:rsidR="00C836BD" w:rsidRPr="00C836BD" w14:paraId="4FC3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94D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latency</w:t>
            </w:r>
          </w:p>
        </w:tc>
        <w:tc>
          <w:tcPr>
            <w:tcW w:w="0" w:type="auto"/>
            <w:vAlign w:val="center"/>
            <w:hideMark/>
          </w:tcPr>
          <w:p w14:paraId="6F05E22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15.6 ms</w:t>
            </w:r>
          </w:p>
        </w:tc>
      </w:tr>
      <w:tr w:rsidR="00C836BD" w:rsidRPr="00C836BD" w14:paraId="4DDF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027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16120F3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1,427.7 ms</w:t>
            </w:r>
          </w:p>
        </w:tc>
      </w:tr>
    </w:tbl>
    <w:p w14:paraId="047F631B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NDCG ceiling reflects strong semantic alignment between gold queries and paper introductions on a topically focused corpus. The high p95 latency is driven by cold-start and unoptimized retrieval on first queries — addressed by AutoML below.</w:t>
      </w:r>
    </w:p>
    <w:p w14:paraId="2609B5D6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AutoML for Retriever (Optuna TPE, 30 trials, 70/30 train/test split)</w:t>
      </w:r>
    </w:p>
    <w:p w14:paraId="5D91A0F7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space (5 hyperparameters, per rubric):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113"/>
        <w:gridCol w:w="2385"/>
      </w:tblGrid>
      <w:tr w:rsidR="00C836BD" w:rsidRPr="00C836BD" w14:paraId="726FC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915D9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127F1C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747315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 / Options</w:t>
            </w:r>
          </w:p>
        </w:tc>
      </w:tr>
      <w:tr w:rsidR="00C836BD" w:rsidRPr="00C836BD" w14:paraId="691A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A47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B1E9AE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2A7D6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[3, 10]</w:t>
            </w:r>
          </w:p>
        </w:tc>
      </w:tr>
      <w:tr w:rsidR="00C836BD" w:rsidRPr="00C836BD" w14:paraId="76D4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93F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4A36765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67CA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[0.0, 1.0]</w:t>
            </w:r>
          </w:p>
        </w:tc>
      </w:tr>
      <w:tr w:rsidR="00C836BD" w:rsidRPr="00C836BD" w14:paraId="2BB7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74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3ED06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ACE69A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{cosine, dot, euclidean}</w:t>
            </w:r>
          </w:p>
        </w:tc>
      </w:tr>
      <w:tr w:rsidR="00C836BD" w:rsidRPr="00C836BD" w14:paraId="7018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EF0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</w:t>
            </w:r>
          </w:p>
        </w:tc>
        <w:tc>
          <w:tcPr>
            <w:tcW w:w="0" w:type="auto"/>
            <w:vAlign w:val="center"/>
            <w:hideMark/>
          </w:tcPr>
          <w:p w14:paraId="5AC3C0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2C163A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{True, False}</w:t>
            </w:r>
          </w:p>
        </w:tc>
      </w:tr>
      <w:tr w:rsidR="00C836BD" w:rsidRPr="00C836BD" w14:paraId="1279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495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svd_dim</w:t>
            </w:r>
          </w:p>
        </w:tc>
        <w:tc>
          <w:tcPr>
            <w:tcW w:w="0" w:type="auto"/>
            <w:vAlign w:val="center"/>
            <w:hideMark/>
          </w:tcPr>
          <w:p w14:paraId="78DD04A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207DB6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{None, 128, 256, 384}</w:t>
            </w:r>
          </w:p>
        </w:tc>
      </w:tr>
    </w:tbl>
    <w:p w14:paraId="5F475180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= NDCG@5 − 0.1 · (p95_latency / 2000 ms)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 The penalty incentivizes configurations that preserve quality while staying well under the 2-second budget.</w:t>
      </w:r>
    </w:p>
    <w:p w14:paraId="4E0E945C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Gold queries split 70/30 (7 train, 3 held-out test, seed = 42). Optuna sees only the train queries during HPO; final metrics reported on the held-out test queries. TPESampler with seed = 42 for reproducibility.</w:t>
      </w:r>
    </w:p>
    <w:p w14:paraId="205E66BD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configuration (trial 27):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735"/>
      </w:tblGrid>
      <w:tr w:rsidR="00C836BD" w:rsidRPr="00C836BD" w14:paraId="61D46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827E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840323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352F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ADD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054EDA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C836BD" w:rsidRPr="00C836BD" w14:paraId="5BA4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98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494AF4FA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0.879</w:t>
            </w:r>
          </w:p>
        </w:tc>
      </w:tr>
      <w:tr w:rsidR="00C836BD" w:rsidRPr="00C836BD" w14:paraId="7486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CF4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DC8FD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</w:t>
            </w:r>
          </w:p>
        </w:tc>
      </w:tr>
      <w:tr w:rsidR="00C836BD" w:rsidRPr="00C836BD" w14:paraId="59A4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A9F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</w:t>
            </w:r>
          </w:p>
        </w:tc>
        <w:tc>
          <w:tcPr>
            <w:tcW w:w="0" w:type="auto"/>
            <w:vAlign w:val="center"/>
            <w:hideMark/>
          </w:tcPr>
          <w:p w14:paraId="7970060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C836BD" w:rsidRPr="00C836BD" w14:paraId="4F5B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63D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svd_dim</w:t>
            </w:r>
          </w:p>
        </w:tc>
        <w:tc>
          <w:tcPr>
            <w:tcW w:w="0" w:type="auto"/>
            <w:vAlign w:val="center"/>
            <w:hideMark/>
          </w:tcPr>
          <w:p w14:paraId="36D974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</w:p>
        </w:tc>
      </w:tr>
      <w:tr w:rsidR="00C836BD" w:rsidRPr="00C836BD" w14:paraId="3636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A1C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objective score</w:t>
            </w:r>
          </w:p>
        </w:tc>
        <w:tc>
          <w:tcPr>
            <w:tcW w:w="0" w:type="auto"/>
            <w:vAlign w:val="center"/>
            <w:hideMark/>
          </w:tcPr>
          <w:p w14:paraId="323BABB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0.9993</w:t>
            </w:r>
          </w:p>
        </w:tc>
      </w:tr>
    </w:tbl>
    <w:p w14:paraId="735C8599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Held-out test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21"/>
        <w:gridCol w:w="989"/>
      </w:tblGrid>
      <w:tr w:rsidR="00C836BD" w:rsidRPr="00C836BD" w14:paraId="1618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E25D5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7E41C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 (7q)</w:t>
            </w:r>
          </w:p>
        </w:tc>
        <w:tc>
          <w:tcPr>
            <w:tcW w:w="0" w:type="auto"/>
            <w:vAlign w:val="center"/>
            <w:hideMark/>
          </w:tcPr>
          <w:p w14:paraId="37AD801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(3q)</w:t>
            </w:r>
          </w:p>
        </w:tc>
      </w:tr>
      <w:tr w:rsidR="00C836BD" w:rsidRPr="00C836BD" w14:paraId="76C7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49E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63F0A93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299867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1902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EE2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NDCG@5</w:t>
            </w:r>
          </w:p>
        </w:tc>
        <w:tc>
          <w:tcPr>
            <w:tcW w:w="0" w:type="auto"/>
            <w:vAlign w:val="center"/>
            <w:hideMark/>
          </w:tcPr>
          <w:p w14:paraId="09845A8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35910F3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67E8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BC4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3608CD09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14.9 ms</w:t>
            </w:r>
          </w:p>
        </w:tc>
        <w:tc>
          <w:tcPr>
            <w:tcW w:w="0" w:type="auto"/>
            <w:vAlign w:val="center"/>
            <w:hideMark/>
          </w:tcPr>
          <w:p w14:paraId="0AAE9DC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423.7 ms</w:t>
            </w:r>
          </w:p>
        </w:tc>
      </w:tr>
    </w:tbl>
    <w:p w14:paraId="3730A16B" w14:textId="5F363F60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F2A2855" wp14:editId="51F7C3AA">
            <wp:extent cx="5943600" cy="2326005"/>
            <wp:effectExtent l="0" t="0" r="0" b="0"/>
            <wp:docPr id="17835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1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1. Optuna TPE convergence over 30 trials.</w:t>
      </w:r>
    </w:p>
    <w:p w14:paraId="5FAD661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The optimizer chose a dense-heavy fusion (α = 0.879) with the dot-product metric and full 384-dim embeddings, confirming semantic similarity drives this task. The latency-aware objective reduced train p95 from 1,427.7 ms (baseline) to 14.9 ms — a 99 % reduction — without sacrificing relevance. Higher test p95 of 423.7 ms reflects cold-start variance over only 3 test queries; well below the 2,000 ms ceiling. Test NDCG and Recall both holding at 1.000 confirms no overfit. Reproducibility record saved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results/automl_run_card.yaml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1EFCD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Online Learning with Drift Adaptation</w:t>
      </w:r>
    </w:p>
    <w:p w14:paraId="08C9397B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Prequential test-then-train protocol using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 GaussianNB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Stream of 80 samples with two features (f₁, f₂). Pre-drift rule (samples 0–39): label = 1 if f₁ &gt; 0.5 else 0, with 5 % error noise.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Abrupt drift at sample 40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flips the rule and shifts the error signal to 90 %. Rolling accuracy computed over a window of 10 samples.</w:t>
      </w:r>
    </w:p>
    <w:p w14:paraId="2AAEEB6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detector.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ADWIN(delta = 0.002, clock = 1)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 = 1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setting forces drift evaluation at every sample.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149"/>
      </w:tblGrid>
      <w:tr w:rsidR="00C836BD" w:rsidRPr="00C836BD" w14:paraId="00F70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2EA7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CF6F8C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29E7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9BC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 length</w:t>
            </w:r>
          </w:p>
        </w:tc>
        <w:tc>
          <w:tcPr>
            <w:tcW w:w="0" w:type="auto"/>
            <w:vAlign w:val="center"/>
            <w:hideMark/>
          </w:tcPr>
          <w:p w14:paraId="49F3D2B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samples</w:t>
            </w:r>
          </w:p>
        </w:tc>
      </w:tr>
      <w:tr w:rsidR="00C836BD" w:rsidRPr="00C836BD" w14:paraId="56F7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183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drift point</w:t>
            </w:r>
          </w:p>
        </w:tc>
        <w:tc>
          <w:tcPr>
            <w:tcW w:w="0" w:type="auto"/>
            <w:vAlign w:val="center"/>
            <w:hideMark/>
          </w:tcPr>
          <w:p w14:paraId="60FFF8C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40</w:t>
            </w:r>
          </w:p>
        </w:tc>
      </w:tr>
      <w:tr w:rsidR="00C836BD" w:rsidRPr="00C836BD" w14:paraId="69AC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A08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ADWIN drift detected at</w:t>
            </w:r>
          </w:p>
        </w:tc>
        <w:tc>
          <w:tcPr>
            <w:tcW w:w="0" w:type="auto"/>
            <w:vAlign w:val="center"/>
            <w:hideMark/>
          </w:tcPr>
          <w:p w14:paraId="061834C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72</w:t>
            </w:r>
          </w:p>
        </w:tc>
      </w:tr>
      <w:tr w:rsidR="00C836BD" w:rsidRPr="00C836BD" w14:paraId="18666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7CE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 lag</w:t>
            </w:r>
          </w:p>
        </w:tc>
        <w:tc>
          <w:tcPr>
            <w:tcW w:w="0" w:type="auto"/>
            <w:vAlign w:val="center"/>
            <w:hideMark/>
          </w:tcPr>
          <w:p w14:paraId="4339B87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samples</w:t>
            </w:r>
          </w:p>
        </w:tc>
      </w:tr>
    </w:tbl>
    <w:p w14:paraId="124821CA" w14:textId="7ED1A68C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BEF404B" wp14:editId="05ADC4C4">
            <wp:extent cx="5943600" cy="2434590"/>
            <wp:effectExtent l="0" t="0" r="0" b="3810"/>
            <wp:docPr id="87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2. Rolling accuracy (blue) drops after the true drift (green, sample 40). ADWIN issues a drift alarm (red, sample 72) once the post-drift error signal accumulates statistical evidence under δ = 0.002.</w:t>
      </w:r>
    </w:p>
    <w:p w14:paraId="74450657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The 32-sample detection lag is a deliberate trade-off: a tighter δ would reduce lag but raise false-alarm rate.</w:t>
      </w:r>
    </w:p>
    <w:p w14:paraId="17112E2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Adaptive vs Static Baseline (rubric target: &gt; +5 %)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1733"/>
      </w:tblGrid>
      <w:tr w:rsidR="00C836BD" w:rsidRPr="00C836BD" w14:paraId="4745A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4028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82D58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56EF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A11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Post-drift adaptive accuracy (samples 40–79)</w:t>
            </w:r>
          </w:p>
        </w:tc>
        <w:tc>
          <w:tcPr>
            <w:tcW w:w="0" w:type="auto"/>
            <w:vAlign w:val="center"/>
            <w:hideMark/>
          </w:tcPr>
          <w:p w14:paraId="5F72ECB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0.260</w:t>
            </w:r>
          </w:p>
        </w:tc>
      </w:tr>
      <w:tr w:rsidR="00C836BD" w:rsidRPr="00C836BD" w14:paraId="710C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7F4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Post-drift static baseline accuracy (samples 40–79)</w:t>
            </w:r>
          </w:p>
        </w:tc>
        <w:tc>
          <w:tcPr>
            <w:tcW w:w="0" w:type="auto"/>
            <w:vAlign w:val="center"/>
            <w:hideMark/>
          </w:tcPr>
          <w:p w14:paraId="281CB9B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0.113</w:t>
            </w:r>
          </w:p>
        </w:tc>
      </w:tr>
      <w:tr w:rsidR="00C836BD" w:rsidRPr="00C836BD" w14:paraId="3077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D1F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Relative improvement</w:t>
            </w:r>
          </w:p>
        </w:tc>
        <w:tc>
          <w:tcPr>
            <w:tcW w:w="0" w:type="auto"/>
            <w:vAlign w:val="center"/>
            <w:hideMark/>
          </w:tcPr>
          <w:p w14:paraId="04E7175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+131.1 %</w:t>
            </w:r>
          </w:p>
        </w:tc>
      </w:tr>
      <w:tr w:rsidR="00C836BD" w:rsidRPr="00C836BD" w14:paraId="4075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F90A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Rubric target</w:t>
            </w:r>
          </w:p>
        </w:tc>
        <w:tc>
          <w:tcPr>
            <w:tcW w:w="0" w:type="auto"/>
            <w:vAlign w:val="center"/>
            <w:hideMark/>
          </w:tcPr>
          <w:p w14:paraId="023EDB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+5 % — </w:t>
            </w: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</w:tbl>
    <w:p w14:paraId="0703160C" w14:textId="4E15D761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6F47AC8" wp14:editId="1E4FDDA4">
            <wp:extent cx="5943600" cy="2434590"/>
            <wp:effectExtent l="0" t="0" r="0" b="3810"/>
            <wp:docPr id="1899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3. Adaptive learner (blue) vs static frozen baseline (orange). Post-drift period shaded red. The adaptive learner partially recovers; the static baseline is locked at the inverted rule.</w:t>
      </w:r>
    </w:p>
    <w:p w14:paraId="1C71919E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Online-learning record saved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results/online_run_card.yaml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C2A46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Insights and Decisions</w:t>
      </w:r>
    </w:p>
    <w:p w14:paraId="3E1E8B08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penalty in the AutoML objective produced the most consequential win.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A pure-NDCG objective would have left p95 latency at the baseline (1,427.7 ms). The 0.1 weight pushed the optimizer toward a configuration with 99 % lower p95 while retaining ceiling NDCG.</w:t>
      </w:r>
    </w:p>
    <w:p w14:paraId="34C89650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Train/test split confirms no overfit.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With Optuna seeing only 7 queries and final metrics computed on 3 held-out queries (seed = 42), perfect test scores demonstrate the chosen configuration generalizes.</w:t>
      </w:r>
    </w:p>
    <w:p w14:paraId="0E3B3DD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of algorithms reflects lab content.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Optuna TPE was selected from the strategies covered in Week 2 (Grid, Random, TPE, Hyperband, BOHB) because TPE balances exploration and exploitation efficiently on small (&lt; 50) trial budgets, while Hyperband/BOHB are better suited to costly training jobs. ADWIN was selected over DDM, KSWIN, and Page-Hinkley (Week 4) because its windowing approach handles both abrupt and gradual drift without requiring distribution assumptions. River GaussianNB was chosen over Hoeffding Tree after observing that closed-form per-sample updates adapt faster than tree-split updates on streams of this size, producing a cleaner pre-/post-drift contrast for ADWIN.</w:t>
      </w:r>
    </w:p>
    <w:p w14:paraId="11BF9B6D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Corpus size is 10 papers due to arXiv rate-limiting during ingest; the methodology generalizes directly to larger corpora. Online learning uses a synthetic feedback stream rather than real user clicks — D2 will collect real feedback via FastAPI.</w:t>
      </w:r>
    </w:p>
    <w:p w14:paraId="7EBA5AEB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Reproducibility</w:t>
      </w:r>
    </w:p>
    <w:p w14:paraId="4E3EDDA9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All experiments are deterministic with seed = 42 (Optuna sampler, NumPy stream generation, train/test split, embedding model). To reproduce: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, then run notebooks in order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01_ingest_corpus → 02_build_index → 03_gold_set → 04_automl → 05_online_learning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Outputs regenerate in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(run cards, plots) and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(CSV, gold set).</w:t>
      </w:r>
    </w:p>
    <w:p w14:paraId="3982B807" w14:textId="233A779E" w:rsidR="000B1184" w:rsidRPr="00C836BD" w:rsidRDefault="000B1184" w:rsidP="00C836BD"/>
    <w:sectPr w:rsidR="000B1184" w:rsidRPr="00C836BD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8811" w14:textId="77777777" w:rsidR="00CC5B69" w:rsidRDefault="00CC5B69" w:rsidP="000B1184">
      <w:pPr>
        <w:spacing w:after="0" w:line="240" w:lineRule="auto"/>
      </w:pPr>
      <w:r>
        <w:separator/>
      </w:r>
    </w:p>
  </w:endnote>
  <w:endnote w:type="continuationSeparator" w:id="0">
    <w:p w14:paraId="14ACF466" w14:textId="77777777" w:rsidR="00CC5B69" w:rsidRDefault="00CC5B69" w:rsidP="000B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1639964"/>
      <w:docPartObj>
        <w:docPartGallery w:val="Page Numbers (Bottom of Page)"/>
        <w:docPartUnique/>
      </w:docPartObj>
    </w:sdtPr>
    <w:sdtContent>
      <w:p w14:paraId="30BDCFC5" w14:textId="188CF2F4" w:rsidR="000B1184" w:rsidRDefault="000B1184" w:rsidP="009374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6AA52F" w14:textId="77777777" w:rsidR="000B1184" w:rsidRDefault="000B1184" w:rsidP="000B11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2325453"/>
      <w:docPartObj>
        <w:docPartGallery w:val="Page Numbers (Bottom of Page)"/>
        <w:docPartUnique/>
      </w:docPartObj>
    </w:sdtPr>
    <w:sdtContent>
      <w:p w14:paraId="5FE0C8DC" w14:textId="1B86A349" w:rsidR="000B1184" w:rsidRDefault="000B1184" w:rsidP="009374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86877B7" w14:textId="77777777" w:rsidR="000B1184" w:rsidRDefault="000B1184" w:rsidP="000B11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F4B4" w14:textId="77777777" w:rsidR="00CC5B69" w:rsidRDefault="00CC5B69" w:rsidP="000B1184">
      <w:pPr>
        <w:spacing w:after="0" w:line="240" w:lineRule="auto"/>
      </w:pPr>
      <w:r>
        <w:separator/>
      </w:r>
    </w:p>
  </w:footnote>
  <w:footnote w:type="continuationSeparator" w:id="0">
    <w:p w14:paraId="17D736EF" w14:textId="77777777" w:rsidR="00CC5B69" w:rsidRDefault="00CC5B69" w:rsidP="000B1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6229"/>
    <w:multiLevelType w:val="multilevel"/>
    <w:tmpl w:val="0918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3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84"/>
    <w:rsid w:val="000B1184"/>
    <w:rsid w:val="0048765A"/>
    <w:rsid w:val="00512B4D"/>
    <w:rsid w:val="005400B5"/>
    <w:rsid w:val="005702A5"/>
    <w:rsid w:val="00573F1C"/>
    <w:rsid w:val="005947D0"/>
    <w:rsid w:val="008A18BB"/>
    <w:rsid w:val="008C2E13"/>
    <w:rsid w:val="00A026B7"/>
    <w:rsid w:val="00B47858"/>
    <w:rsid w:val="00C836BD"/>
    <w:rsid w:val="00CC5B69"/>
    <w:rsid w:val="00D3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86251"/>
  <w15:chartTrackingRefBased/>
  <w15:docId w15:val="{BF78D920-4DBE-5047-9301-70838EC0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8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B1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1184"/>
    <w:rPr>
      <w:i/>
      <w:iCs/>
    </w:rPr>
  </w:style>
  <w:style w:type="character" w:styleId="Strong">
    <w:name w:val="Strong"/>
    <w:basedOn w:val="DefaultParagraphFont"/>
    <w:uiPriority w:val="22"/>
    <w:qFormat/>
    <w:rsid w:val="000B1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1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1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84"/>
  </w:style>
  <w:style w:type="paragraph" w:styleId="Footer">
    <w:name w:val="footer"/>
    <w:basedOn w:val="Normal"/>
    <w:link w:val="FooterChar"/>
    <w:uiPriority w:val="99"/>
    <w:unhideWhenUsed/>
    <w:rsid w:val="000B1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184"/>
  </w:style>
  <w:style w:type="character" w:styleId="PageNumber">
    <w:name w:val="page number"/>
    <w:basedOn w:val="DefaultParagraphFont"/>
    <w:uiPriority w:val="99"/>
    <w:semiHidden/>
    <w:unhideWhenUsed/>
    <w:rsid w:val="000B1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Gamze Okmen</dc:creator>
  <cp:keywords/>
  <dc:description/>
  <cp:lastModifiedBy>Gamze Okmen</cp:lastModifiedBy>
  <cp:revision>5</cp:revision>
  <dcterms:created xsi:type="dcterms:W3CDTF">2026-05-15T14:29:00Z</dcterms:created>
  <dcterms:modified xsi:type="dcterms:W3CDTF">2026-05-16T17:20:00Z</dcterms:modified>
</cp:coreProperties>
</file>