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line="300" w:lineRule="auto"/>
      </w:pPr>
      <w:r>
        <w:rPr>
          <w:rFonts w:ascii="Calibri" w:hAnsi="Calibri" w:eastAsia="맑은 고딕" w:cs="Calibri" w:hint="eastAsia"/>
          <w:color w:val="5A6470"/>
          <w:sz w:val="17"/>
          <w:szCs w:val="17"/>
        </w:rPr>
        <w:t xml:space="preserve">문서번호 : GANA-BR-2026-02 · 작성일 : 2026. 7. 23. · 개정 : 제2판 · 내부 검토용</w:t>
      </w:r>
    </w:p>
    <w:p>
      <w:pPr>
        <w:keepNext/>
        <w:spacing w:before="0" w:after="80" w:line="300" w:lineRule="auto"/>
      </w:pPr>
      <w:r>
        <w:rPr>
          <w:rFonts w:ascii="Calibri" w:hAnsi="Calibri" w:eastAsia="맑은 고딕" w:cs="Calibri" w:hint="eastAsia"/>
          <w:b/>
          <w:bCs/>
          <w:color w:val="0B1F3A"/>
          <w:sz w:val="46"/>
          <w:szCs w:val="46"/>
        </w:rPr>
        <w:t xml:space="preserve">GANA 그룹 리브랜딩 기획서</w:t>
      </w:r>
    </w:p>
    <w:p>
      <w:pPr>
        <w:spacing w:before="0" w:after="140" w:line="300" w:lineRule="auto"/>
        <w:jc w:val="both"/>
      </w:pPr>
      <w:r>
        <w:rPr>
          <w:rFonts w:ascii="Calibri" w:hAnsi="Calibri" w:eastAsia="맑은 고딕" w:cs="Calibri" w:hint="eastAsia"/>
          <w:color w:val="1A1A1A"/>
          <w:sz w:val="21"/>
          <w:szCs w:val="21"/>
        </w:rPr>
        <w:t xml:space="preserve">브랜드 축 전환 및 실행 계획  |  제2판</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내용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작성 목적</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그룹 대외 브랜드 축의 전환 및 실행 계획에 대한 승인 요청</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보고 대상</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회장 및 임원진</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적용 범위</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GANA R&amp;D, GANA Cosmetic, Dr.Park CDMO 및 계열사</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승인 요청</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4건 (제12장, 웹 스코프). 제1항은 승인 불요 즉시 조치</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근거 자료</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2026. 7. 22. 공개 레지스트리 전수 조사 결과</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구성</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제1부 리브랜딩 방향 (제1~7장)  ·  제2부 웹에서의 실현 (제8~12장)  ·  부록 A~G 분석 자료</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요약</w:t>
      </w:r>
    </w:p>
    <w:p>
      <w:pPr>
        <w:spacing w:before="0" w:after="140" w:line="300" w:lineRule="auto"/>
        <w:jc w:val="both"/>
      </w:pPr>
      <w:r>
        <w:rPr>
          <w:rFonts w:ascii="Calibri" w:hAnsi="Calibri" w:eastAsia="맑은 고딕" w:cs="Calibri" w:hint="eastAsia"/>
          <w:color w:val="1A1A1A"/>
          <w:sz w:val="21"/>
          <w:szCs w:val="21"/>
        </w:rPr>
        <w:t xml:space="preserve">본 기획서는 GANA 그룹 대외 브랜드에 ‘제조 주체’라는 증명 축을 더하자고 제안한다. 기존에서 없애는 것은 없다. 안티에이징도, ‘세계 최대급’ 포지셔닝도, 6개 계열사도 그대로 유지한다. 여기에 그 주장을 실사에서 지켜낼 증명(등재)과 측정 기준(자)을 덧붙인다.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필러 회사가 아니라, 바이오 생산 인프라입니다. (Not a filler company: bio-manufacturing infrastructure.)</w:t>
      </w:r>
    </w:p>
    <w:p>
      <w:pPr>
        <w:spacing w:before="0" w:after="140" w:line="300" w:lineRule="auto"/>
        <w:jc w:val="both"/>
      </w:pPr>
      <w:r>
        <w:rPr>
          <w:rFonts w:ascii="Calibri" w:hAnsi="Calibri" w:eastAsia="맑은 고딕" w:cs="Calibri" w:hint="eastAsia"/>
          <w:color w:val="1A1A1A"/>
          <w:sz w:val="21"/>
          <w:szCs w:val="21"/>
        </w:rPr>
        <w:t xml:space="preserve">이것은 새로운 방향이 아니다. 자사 CDMO 소개 영상은 이미 ‘one of the world’s largest and most advanced AAV production capacities’라고 말하고 있고, 사내 기술 검증 자료도 대외 언어를 ‘필러 회사가 아니라 바이오 생산 인프라’로 규정하고 있다. 가장 최근에 만든 자산은 이미 이 축에 서 있으나, 웹사이트와 인쇄물이 아직 이를 따라오지 못한 상태다. 그래서 본 기획서가 요청하는 것은 방향 전환이 아니라 정렬이다.</w:t>
      </w:r>
    </w:p>
    <w:p>
      <w:pPr>
        <w:spacing w:before="0" w:after="140" w:line="300" w:lineRule="auto"/>
        <w:jc w:val="both"/>
      </w:pPr>
      <w:r>
        <w:rPr>
          <w:rFonts w:ascii="Calibri" w:hAnsi="Calibri" w:eastAsia="맑은 고딕" w:cs="Calibri" w:hint="eastAsia"/>
          <w:color w:val="1A1A1A"/>
          <w:sz w:val="21"/>
          <w:szCs w:val="21"/>
        </w:rPr>
        <w:t xml:space="preserve">이유는 단순하다. ‘노화를 케어한다’는 문장은 화장품·필러·건강기능식품 업계가 공통으로 쓰기 때문에 변별력이 없고, 말하는 순간 ‘그것을 어떻게 증명하는가’라는 되물음을 부른다. 축을 제조 주체로 옮긴다고 이 되물음이 사라지지는 않는다. 대신 답할 수 있는 형태, 곧 ‘등재 내역을 보여달라’로 바뀐다. (주)가나알엔디는 5개 관할 38건의 제품 등재에 제조자로 기재되어 있으며, 번호는 요청 즉시 제시할 수 있다.</w:t>
      </w:r>
    </w:p>
    <w:p>
      <w:pPr>
        <w:spacing w:before="0" w:after="140" w:line="300" w:lineRule="auto"/>
        <w:jc w:val="both"/>
      </w:pPr>
      <w:r>
        <w:rPr>
          <w:rFonts w:ascii="Calibri" w:hAnsi="Calibri" w:eastAsia="맑은 고딕" w:cs="Calibri" w:hint="eastAsia"/>
          <w:color w:val="1A1A1A"/>
          <w:sz w:val="21"/>
          <w:szCs w:val="21"/>
        </w:rPr>
        <w:t xml:space="preserve">축은 층에 따라 적용 범위가 다르다. 표면·조직 층은 등재번호로 증명되는 완료형이다. 세포·유전자 층은 준공은 마쳤으나 cGMP를 취득하지 못했으므로 진행형으로 서술한다. 지었고, 인증은 2026년을 목표로 한다는 식이다. 양 끝단을 하나의 주어로 묶지 않는다.</w:t>
      </w:r>
    </w:p>
    <w:p>
      <w:pPr>
        <w:spacing w:before="0" w:after="140" w:line="300" w:lineRule="auto"/>
        <w:jc w:val="both"/>
      </w:pPr>
      <w:r>
        <w:rPr>
          <w:rFonts w:ascii="Calibri" w:hAnsi="Calibri" w:eastAsia="맑은 고딕" w:cs="Calibri" w:hint="eastAsia"/>
          <w:color w:val="1A1A1A"/>
          <w:sz w:val="21"/>
          <w:szCs w:val="21"/>
        </w:rPr>
        <w:t xml:space="preserve">선행 조건이 하나 있으나 범위는 좁다. 배치 용량이 자료별로 5,000L·6,000L·200,000L로 서로 다른데, 이는 각 자료가 서로 다른 시점에 멈춰 있는 데서 비롯된다. 필요한 조치는 전면 통일이 아니라 해당 수치의 동결이고, 나머지 작업은 병렬로 진행한다.</w:t>
      </w:r>
    </w:p>
    <w:p>
      <w:pPr>
        <w:spacing w:before="0" w:after="140" w:line="300" w:lineRule="auto"/>
        <w:jc w:val="both"/>
      </w:pPr>
      <w:r>
        <w:rPr>
          <w:rFonts w:ascii="Calibri" w:hAnsi="Calibri" w:eastAsia="맑은 고딕" w:cs="Calibri" w:hint="eastAsia"/>
          <w:color w:val="1A1A1A"/>
          <w:sz w:val="21"/>
          <w:szCs w:val="21"/>
        </w:rPr>
        <w:t xml:space="preserve">승인 요청은 4건이며, 제2부(제8~12장)에서 웹에서의 실현으로 구체화한다. 제1항인 즉시 웹 정비는 축의 결정과 무관하게 비용 없이 착수할 수 있다.</w:t>
      </w:r>
    </w:p>
    <w:p>
      <w:pPr>
        <w:keepNext/>
        <w:spacing w:before="240" w:after="100" w:line="300" w:lineRule="auto"/>
      </w:pPr>
      <w:r>
        <w:rPr>
          <w:rFonts w:ascii="Calibri" w:hAnsi="Calibri" w:eastAsia="맑은 고딕" w:cs="Calibri" w:hint="eastAsia"/>
          <w:b/>
          <w:bCs/>
          <w:color w:val="0B1F3A"/>
          <w:sz w:val="24"/>
          <w:szCs w:val="24"/>
        </w:rPr>
        <w:t xml:space="preserve">목차</w:t>
      </w:r>
    </w:p>
    <w:p>
      <w:pPr>
        <w:spacing w:before="0" w:after="140" w:line="300" w:lineRule="auto"/>
        <w:jc w:val="both"/>
      </w:pPr>
      <w:r>
        <w:rPr>
          <w:rFonts w:ascii="Calibri" w:hAnsi="Calibri" w:eastAsia="맑은 고딕" w:cs="Calibri" w:hint="eastAsia"/>
          <w:b/>
          <w:bCs/>
          <w:color w:val="1A1A1A"/>
          <w:sz w:val="21"/>
          <w:szCs w:val="21"/>
        </w:rPr>
        <w:t xml:space="preserve">제1부 · 리브랜딩 방향</w:t>
      </w:r>
    </w:p>
    <w:p>
      <w:pPr>
        <w:spacing w:before="0" w:after="140" w:line="300" w:lineRule="auto"/>
        <w:jc w:val="both"/>
      </w:pPr>
      <w:r>
        <w:rPr>
          <w:rFonts w:ascii="Calibri" w:hAnsi="Calibri" w:eastAsia="맑은 고딕" w:cs="Calibri" w:hint="eastAsia"/>
          <w:color w:val="1A1A1A"/>
          <w:sz w:val="21"/>
          <w:szCs w:val="21"/>
        </w:rPr>
        <w:t xml:space="preserve">1. 제안 요약  ·  2. 현황 진단  ·  3. 축 전환 제안  ·  4. 브랜드 아키텍처  ·  5. 근거 자료  ·  6. 언어 체계  ·  7. 규모 표현 기준</w:t>
      </w:r>
    </w:p>
    <w:p>
      <w:pPr>
        <w:spacing w:before="0" w:after="140" w:line="300" w:lineRule="auto"/>
        <w:jc w:val="both"/>
      </w:pPr>
      <w:r>
        <w:rPr>
          <w:rFonts w:ascii="Calibri" w:hAnsi="Calibri" w:eastAsia="맑은 고딕" w:cs="Calibri" w:hint="eastAsia"/>
          <w:b/>
          <w:bCs/>
          <w:color w:val="1A1A1A"/>
          <w:sz w:val="21"/>
          <w:szCs w:val="21"/>
        </w:rPr>
        <w:t xml:space="preserve">제2부 · 웹에서의 실현</w:t>
      </w:r>
    </w:p>
    <w:p>
      <w:pPr>
        <w:spacing w:before="0" w:after="140" w:line="300" w:lineRule="auto"/>
        <w:jc w:val="both"/>
      </w:pPr>
      <w:r>
        <w:rPr>
          <w:rFonts w:ascii="Calibri" w:hAnsi="Calibri" w:eastAsia="맑은 고딕" w:cs="Calibri" w:hint="eastAsia"/>
          <w:color w:val="1A1A1A"/>
          <w:sz w:val="21"/>
          <w:szCs w:val="21"/>
        </w:rPr>
        <w:t xml:space="preserve">8. 웹의 역할  ·  9. 방향의 웹 실현  ·  10. 추진 일정  ·  11. 선결 항목과 경계  ·  12. 승인 요청 사항</w:t>
      </w:r>
    </w:p>
    <w:p>
      <w:pPr>
        <w:spacing w:before="0" w:after="140" w:line="300" w:lineRule="auto"/>
        <w:jc w:val="both"/>
      </w:pPr>
      <w:r>
        <w:rPr>
          <w:rFonts w:ascii="Calibri" w:hAnsi="Calibri" w:eastAsia="맑은 고딕" w:cs="Calibri" w:hint="eastAsia"/>
          <w:b/>
          <w:bCs/>
          <w:color w:val="1A1A1A"/>
          <w:sz w:val="21"/>
          <w:szCs w:val="21"/>
        </w:rPr>
        <w:t xml:space="preserve">부록</w:t>
      </w:r>
      <w:r>
        <w:rPr>
          <w:rFonts w:ascii="Calibri" w:hAnsi="Calibri" w:eastAsia="맑은 고딕" w:cs="Calibri" w:hint="eastAsia"/>
          <w:color w:val="1A1A1A"/>
          <w:sz w:val="21"/>
          <w:szCs w:val="21"/>
        </w:rPr>
        <w:t xml:space="preserve"> A. 조사 방법 및 신뢰도 체계  ·  B. 등재 대장  ·  C. 인증 검증 상세  ·  D. 제조 깊이별 운용 기준  ·  E. 사용 제한 표현 전체  ·  F. 경쟁사 생산 용량 조사  ·  G. 웹 반영 전 확인 항목</w:t>
      </w:r>
    </w:p>
    <w:p>
      <w:r>
        <w:br w:type="page"/>
      </w:r>
    </w:p>
    <w:p>
      <w:pPr>
        <w:keepNext/>
        <w:spacing w:before="320" w:after="140" w:line="300" w:lineRule="auto"/>
      </w:pPr>
      <w:r>
        <w:rPr>
          <w:rFonts w:ascii="Calibri" w:hAnsi="Calibri" w:eastAsia="맑은 고딕" w:cs="Calibri" w:hint="eastAsia"/>
          <w:b/>
          <w:bCs/>
          <w:color w:val="0B1F3A"/>
          <w:sz w:val="30"/>
          <w:szCs w:val="30"/>
        </w:rPr>
        <w:t xml:space="preserve">1. 제안 요약</w:t>
      </w:r>
    </w:p>
    <w:p>
      <w:pPr>
        <w:keepNext/>
        <w:spacing w:before="240" w:after="100" w:line="300" w:lineRule="auto"/>
      </w:pPr>
      <w:r>
        <w:rPr>
          <w:rFonts w:ascii="Calibri" w:hAnsi="Calibri" w:eastAsia="맑은 고딕" w:cs="Calibri" w:hint="eastAsia"/>
          <w:b/>
          <w:bCs/>
          <w:color w:val="0B1F3A"/>
          <w:sz w:val="24"/>
          <w:szCs w:val="24"/>
        </w:rPr>
        <w:t xml:space="preserve">1.1 문제</w:t>
      </w:r>
    </w:p>
    <w:p>
      <w:pPr>
        <w:spacing w:before="0" w:after="140" w:line="300" w:lineRule="auto"/>
        <w:jc w:val="both"/>
      </w:pPr>
      <w:r>
        <w:rPr>
          <w:rFonts w:ascii="Calibri" w:hAnsi="Calibri" w:eastAsia="맑은 고딕" w:cs="Calibri" w:hint="eastAsia"/>
          <w:color w:val="1A1A1A"/>
          <w:sz w:val="21"/>
          <w:szCs w:val="21"/>
        </w:rPr>
        <w:t xml:space="preserve">현행 대외 메시지에 대해 다음 세 가지가 사실이며, 각각 수 분 내에 확인할 수 있다.</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구분</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내용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첫째</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그 문장은 우리 것이 아니다. ‘노화를 케어한다’는 화장품·필러·건강기능식품 업계가 똑같이 사용하는 문장이다. 모든 경쟁사가 함께 말할 수 있는 문장은 그 자체의 완성도와 무관하게 변별력을 갖지 못한다</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둘째</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등록번호를 게시하지 않고 있다. (주)가나알엔디는 5개 관할 38건의 제품 등재에 제조자로 기재되어 있다. 현재 자사 채널에 게시된 해당 등록번호는 0건이다. 그 자리에는 존재하지 않는 기관명인 ‘Russia FDA approved’가 있다</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셋째</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자사 제품명 검색에서 자사가 나오지 않는다. 유통사 사이트가 먼저 노출된다. 이것은 브랜드 침해가 아니라 산술적 결과다. 13년간 수요 발굴을 유통사가 수행했고, 인지 지분은 수행한 쪽에 누적되었다</w:t>
            </w:r>
          </w:p>
        </w:tc>
      </w:tr>
    </w:tbl>
    <w:p>
      <w:pPr>
        <w:spacing w:after="0" w:line="120" w:lineRule="auto"/>
      </w:pP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문제는 자격이 없다는 데 있지 않다. 가진 자격을 쓰지 않고 있다는 데 있다.</w:t>
      </w:r>
    </w:p>
    <w:p>
      <w:pPr>
        <w:keepNext/>
        <w:spacing w:before="240" w:after="100" w:line="300" w:lineRule="auto"/>
      </w:pPr>
      <w:r>
        <w:rPr>
          <w:rFonts w:ascii="Calibri" w:hAnsi="Calibri" w:eastAsia="맑은 고딕" w:cs="Calibri" w:hint="eastAsia"/>
          <w:b/>
          <w:bCs/>
          <w:color w:val="0B1F3A"/>
          <w:sz w:val="24"/>
          <w:szCs w:val="24"/>
        </w:rPr>
        <w:t xml:space="preserve">1.2 해법</w:t>
      </w:r>
    </w:p>
    <w:p>
      <w:pPr>
        <w:spacing w:before="0" w:after="140" w:line="300" w:lineRule="auto"/>
        <w:jc w:val="both"/>
      </w:pPr>
      <w:r>
        <w:rPr>
          <w:rFonts w:ascii="Calibri" w:hAnsi="Calibri" w:eastAsia="맑은 고딕" w:cs="Calibri" w:hint="eastAsia"/>
          <w:color w:val="1A1A1A"/>
          <w:sz w:val="21"/>
          <w:szCs w:val="21"/>
        </w:rPr>
        <w:t xml:space="preserve">주장을 바꾸지 않고, 주장에 증명을 붙인다. ‘세계 최대급’도 안티에이징도 유지하되, 측정 가능하고 검증 가능한 형태로 다듬어 트집을 원천 차단한다.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필러 회사가 아니라, 바이오 생산 인프라입니다.</w:t>
      </w:r>
    </w:p>
    <w:p>
      <w:pPr>
        <w:spacing w:before="0" w:after="140" w:line="300" w:lineRule="auto"/>
        <w:jc w:val="both"/>
      </w:pPr>
      <w:r>
        <w:rPr>
          <w:rFonts w:ascii="Calibri" w:hAnsi="Calibri" w:eastAsia="맑은 고딕" w:cs="Calibri" w:hint="eastAsia"/>
          <w:color w:val="1A1A1A"/>
          <w:sz w:val="21"/>
          <w:szCs w:val="21"/>
        </w:rPr>
        <w:t xml:space="preserve">이 시장의 다수 사업자는 제조를 외주하는 브랜드다. 우리는 그렇지 않다. 이 구분은 B2B 자리에서 따로 설명이 필요 없으며, 공장을 보유하지 않은 경쟁사는 복제할 수 없다.</w:t>
      </w:r>
    </w:p>
    <w:p>
      <w:pPr>
        <w:spacing w:before="0" w:after="140" w:line="300" w:lineRule="auto"/>
        <w:jc w:val="both"/>
      </w:pPr>
      <w:r>
        <w:rPr>
          <w:rFonts w:ascii="Calibri" w:hAnsi="Calibri" w:eastAsia="맑은 고딕" w:cs="Calibri" w:hint="eastAsia"/>
          <w:color w:val="1A1A1A"/>
          <w:sz w:val="21"/>
          <w:szCs w:val="21"/>
        </w:rPr>
        <w:t xml:space="preserve">이 전환은 ‘그것을 어떻게 증명하는가’라는 되물음을 없애지 않는다. 그 물음을 ‘등재 내역을 보여달라’로 바꿔 놓으며, 여기에는 이미 우리가 가진 답이 있다. 달라지는 것은 우리가 하는 일이 아니라, 우리가 무엇을 믿어달라고 요청하는가다.</w:t>
      </w:r>
    </w:p>
    <w:p>
      <w:pPr>
        <w:keepNext/>
        <w:spacing w:before="240" w:after="100" w:line="300" w:lineRule="auto"/>
      </w:pPr>
      <w:r>
        <w:rPr>
          <w:rFonts w:ascii="Calibri" w:hAnsi="Calibri" w:eastAsia="맑은 고딕" w:cs="Calibri" w:hint="eastAsia"/>
          <w:b/>
          <w:bCs/>
          <w:color w:val="0B1F3A"/>
          <w:sz w:val="24"/>
          <w:szCs w:val="24"/>
        </w:rPr>
        <w:t xml:space="preserve">1.3 근거</w:t>
      </w:r>
    </w:p>
    <w:p>
      <w:pPr>
        <w:spacing w:before="0" w:after="140" w:line="300" w:lineRule="auto"/>
        <w:jc w:val="both"/>
      </w:pPr>
      <w:r>
        <w:rPr>
          <w:rFonts w:ascii="Calibri" w:hAnsi="Calibri" w:eastAsia="맑은 고딕" w:cs="Calibri" w:hint="eastAsia"/>
          <w:color w:val="1A1A1A"/>
          <w:sz w:val="21"/>
          <w:szCs w:val="21"/>
        </w:rPr>
        <w:t xml:space="preserve">제품 등재 38건. 5개 관할. 전 건에 (주)가나알엔디가 제조자로 기재.</w:t>
      </w:r>
    </w:p>
    <w:p>
      <w:pPr>
        <w:keepNext/>
        <w:spacing w:before="140" w:after="40" w:line="300" w:lineRule="auto"/>
      </w:pPr>
      <w:r>
        <w:rPr>
          <w:rFonts w:ascii="Calibri" w:hAnsi="Calibri" w:eastAsia="맑은 고딕" w:cs="Calibri" w:hint="eastAsia"/>
          <w:b/>
          <w:bCs/>
          <w:color w:val="555555"/>
          <w:sz w:val="19"/>
          <w:szCs w:val="19"/>
        </w:rPr>
        <w:t xml:space="preserve">표 1. 관할별 제품 등재 현황 (2026. 7. 22. 기준)</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2410"/>
        <w:gridCol w:w="2410"/>
        <w:gridCol w:w="2410"/>
        <w:gridCol w:w="2410"/>
      </w:tblGrid>
      <w:tr>
        <w:trPr>
          <w:tblHeader/>
        </w:trPr>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관할</w:t>
            </w:r>
          </w:p>
        </w:tc>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기관</w:t>
            </w:r>
          </w:p>
        </w:tc>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건수</w:t>
            </w:r>
          </w:p>
        </w:tc>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비고</w:t>
            </w:r>
          </w:p>
        </w:tc>
      </w:tr>
      <w:tr>
        <w:tc>
          <w:tcPr>
            <w:tcW w:w="2410" w:type="dxa"/>
            <w:vAlign w:val="center"/>
          </w:tcPr>
          <w:p>
            <w:pPr>
              <w:spacing w:before="20" w:after="20" w:line="264" w:lineRule="auto"/>
            </w:pPr>
            <w:r>
              <w:rPr>
                <w:rFonts w:ascii="Calibri" w:hAnsi="Calibri" w:eastAsia="맑은 고딕" w:cs="Calibri" w:hint="eastAsia"/>
                <w:b/>
                <w:bCs/>
                <w:color w:val="0B1F3A"/>
                <w:sz w:val="19"/>
                <w:szCs w:val="19"/>
              </w:rPr>
              <w:t xml:space="preserve">영국</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MHRA</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1</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Class III · UK 책임자 지정</w:t>
            </w:r>
          </w:p>
        </w:tc>
      </w:tr>
      <w:tr>
        <w:tc>
          <w:tcPr>
            <w:tcW w:w="2410"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EU</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EUDAMED</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해당 없음</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제조자 SRN KR-MF-000037221 · active</w:t>
            </w:r>
          </w:p>
        </w:tc>
      </w:tr>
      <w:tr>
        <w:tc>
          <w:tcPr>
            <w:tcW w:w="2410" w:type="dxa"/>
            <w:vAlign w:val="center"/>
          </w:tcPr>
          <w:p>
            <w:pPr>
              <w:spacing w:before="20" w:after="20" w:line="264" w:lineRule="auto"/>
            </w:pPr>
            <w:r>
              <w:rPr>
                <w:rFonts w:ascii="Calibri" w:hAnsi="Calibri" w:eastAsia="맑은 고딕" w:cs="Calibri" w:hint="eastAsia"/>
                <w:b/>
                <w:bCs/>
                <w:color w:val="0B1F3A"/>
                <w:sz w:val="19"/>
                <w:szCs w:val="19"/>
              </w:rPr>
              <w:t xml:space="preserve">브라질</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ANVISA</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2</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위험등급 IV</w:t>
            </w:r>
          </w:p>
        </w:tc>
      </w:tr>
      <w:tr>
        <w:tc>
          <w:tcPr>
            <w:tcW w:w="2410"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러시아</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Roszdravnadzor</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8</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성분 계열 4종 + 창상피복재</w:t>
            </w:r>
          </w:p>
        </w:tc>
      </w:tr>
      <w:tr>
        <w:tc>
          <w:tcPr>
            <w:tcW w:w="2410" w:type="dxa"/>
            <w:vAlign w:val="center"/>
          </w:tcPr>
          <w:p>
            <w:pPr>
              <w:spacing w:before="20" w:after="20" w:line="264" w:lineRule="auto"/>
            </w:pPr>
            <w:r>
              <w:rPr>
                <w:rFonts w:ascii="Calibri" w:hAnsi="Calibri" w:eastAsia="맑은 고딕" w:cs="Calibri" w:hint="eastAsia"/>
                <w:b/>
                <w:bCs/>
                <w:color w:val="0B1F3A"/>
                <w:sz w:val="19"/>
                <w:szCs w:val="19"/>
              </w:rPr>
              <w:t xml:space="preserve">한국</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MFDS</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27</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26건 수출용 · 제조업 허가 · GMP 2027. 3. 3.까지 유효</w:t>
            </w:r>
          </w:p>
        </w:tc>
      </w:tr>
    </w:tbl>
    <w:p>
      <w:pPr>
        <w:spacing w:after="0" w:line="120" w:lineRule="auto"/>
      </w:pPr>
    </w:p>
    <w:p>
      <w:pPr>
        <w:spacing w:before="0" w:after="140" w:line="300" w:lineRule="auto"/>
        <w:jc w:val="both"/>
      </w:pPr>
      <w:r>
        <w:rPr>
          <w:rFonts w:ascii="Calibri" w:hAnsi="Calibri" w:eastAsia="맑은 고딕" w:cs="Calibri" w:hint="eastAsia"/>
          <w:color w:val="1A1A1A"/>
          <w:sz w:val="21"/>
          <w:szCs w:val="21"/>
        </w:rPr>
        <w:t xml:space="preserve">러시아 8건은 구성을 눈여겨볼 필요가 있다. 히알루론산·PLLA·PCL·칼슘까지 서로 다른 4개 성분 계열이 하나의 제조자 명의로 등재되어 있다. 이런 폭은 단일 제품 라인만 취급해서는 나오지 않고, 여러 화학 계열에 걸쳐 배합·충전을 수행할 때 나타난다.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이 근거가 덮지 않는 범위.</w:t>
      </w:r>
      <w:r>
        <w:rPr>
          <w:rFonts w:ascii="Calibri" w:hAnsi="Calibri" w:eastAsia="맑은 고딕" w:cs="Calibri" w:hint="eastAsia"/>
          <w:color w:val="1A1A1A"/>
          <w:sz w:val="20"/>
          <w:szCs w:val="20"/>
        </w:rPr>
        <w:t xml:space="preserve"> 위 항목 중 어느 것도 세포·유전자 층을 증명하지 않는다. 해당 층은 cGMP를 취득하지 못했고 배치 기록도 없다. 이 층은 제3장에서 진행형으로 따로 서술한다.</w:t>
      </w:r>
    </w:p>
    <w:p>
      <w:pPr>
        <w:keepNext/>
        <w:spacing w:before="240" w:after="100" w:line="300" w:lineRule="auto"/>
      </w:pPr>
      <w:r>
        <w:rPr>
          <w:rFonts w:ascii="Calibri" w:hAnsi="Calibri" w:eastAsia="맑은 고딕" w:cs="Calibri" w:hint="eastAsia"/>
          <w:b/>
          <w:bCs/>
          <w:color w:val="0B1F3A"/>
          <w:sz w:val="24"/>
          <w:szCs w:val="24"/>
        </w:rPr>
        <w:t xml:space="preserve">1.4 선행 과제</w:t>
      </w:r>
    </w:p>
    <w:p>
      <w:pPr>
        <w:spacing w:before="0" w:after="140" w:line="300" w:lineRule="auto"/>
        <w:jc w:val="both"/>
      </w:pPr>
      <w:r>
        <w:rPr>
          <w:rFonts w:ascii="Calibri" w:hAnsi="Calibri" w:eastAsia="맑은 고딕" w:cs="Calibri" w:hint="eastAsia"/>
          <w:color w:val="1A1A1A"/>
          <w:sz w:val="21"/>
          <w:szCs w:val="21"/>
        </w:rPr>
        <w:t xml:space="preserve">다시 게시하기 전에 확정해야 할 수치가 하나 있다. 배치 용량이 자사 자료에서 5,000L · 6,000L · 200,000L로 나타난다.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이는 세 개의 주장이 아니라, 세 개의 시점이다.</w:t>
      </w:r>
    </w:p>
    <w:p>
      <w:pPr>
        <w:spacing w:before="0" w:after="140" w:line="300" w:lineRule="auto"/>
        <w:jc w:val="both"/>
      </w:pPr>
      <w:r>
        <w:rPr>
          <w:rFonts w:ascii="Calibri" w:hAnsi="Calibri" w:eastAsia="맑은 고딕" w:cs="Calibri" w:hint="eastAsia"/>
          <w:color w:val="1A1A1A"/>
          <w:sz w:val="21"/>
          <w:szCs w:val="21"/>
        </w:rPr>
        <w:t xml:space="preserve">각 자료는 작성 당시에는 정확했으며, 이후 갱신되지 않았다. 보도자료와 자사 사이트, 계열사 페이지가 각기 다른 시기에 멈춰 있다.</w:t>
      </w:r>
    </w:p>
    <w:p>
      <w:pPr>
        <w:spacing w:before="0" w:after="140" w:line="300" w:lineRule="auto"/>
        <w:jc w:val="both"/>
      </w:pPr>
      <w:r>
        <w:rPr>
          <w:rFonts w:ascii="Calibri" w:hAnsi="Calibri" w:eastAsia="맑은 고딕" w:cs="Calibri" w:hint="eastAsia"/>
          <w:color w:val="1A1A1A"/>
          <w:sz w:val="21"/>
          <w:szCs w:val="21"/>
        </w:rPr>
        <w:t xml:space="preserve">필요한 조치의 범위는 좁다. 확정 전까지 신규 대외 자료에 용량 수치를 싣지 않는다. 이것은 별도 과제라기보다 동결에 가까우며, 슬로건과 정보구조, 웹사이트 작업은 이와 무관하게 병렬로 진행한다.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2. 현황 진단</w:t>
      </w:r>
    </w:p>
    <w:p>
      <w:pPr>
        <w:keepNext/>
        <w:spacing w:before="240" w:after="100" w:line="300" w:lineRule="auto"/>
      </w:pPr>
      <w:r>
        <w:rPr>
          <w:rFonts w:ascii="Calibri" w:hAnsi="Calibri" w:eastAsia="맑은 고딕" w:cs="Calibri" w:hint="eastAsia"/>
          <w:b/>
          <w:bCs/>
          <w:color w:val="0B1F3A"/>
          <w:sz w:val="24"/>
          <w:szCs w:val="24"/>
        </w:rPr>
        <w:t xml:space="preserve">2.1 현행 메시지의 구조</w:t>
      </w:r>
    </w:p>
    <w:p>
      <w:pPr>
        <w:keepNext/>
        <w:spacing w:before="140" w:after="40" w:line="300" w:lineRule="auto"/>
      </w:pPr>
      <w:r>
        <w:rPr>
          <w:rFonts w:ascii="Calibri" w:hAnsi="Calibri" w:eastAsia="맑은 고딕" w:cs="Calibri" w:hint="eastAsia"/>
          <w:b/>
          <w:bCs/>
          <w:color w:val="555555"/>
          <w:sz w:val="19"/>
          <w:szCs w:val="19"/>
        </w:rPr>
        <w:t xml:space="preserve">표 2. 현행 메시지가 실제로 유발하는 행동</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우리가 말하는 것</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상대가 듣는 것</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상대가 그다음 하는 것</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안티에이징 케어</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업계 공용 문장</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흘려듣는다</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다수의 계열사</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가짓수</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하나도 기억하지 못한다</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세계 최대급 설비</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검증 대상</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경쟁사 수치와 대조한다</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유전자 단위까지</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큰 약속</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증명을 요구한다</w:t>
            </w:r>
          </w:p>
        </w:tc>
      </w:tr>
    </w:tbl>
    <w:p>
      <w:pPr>
        <w:spacing w:after="0" w:line="120" w:lineRule="auto"/>
      </w:pPr>
    </w:p>
    <w:p>
      <w:pPr>
        <w:spacing w:before="0" w:after="140" w:line="300" w:lineRule="auto"/>
        <w:jc w:val="both"/>
      </w:pPr>
      <w:r>
        <w:rPr>
          <w:rFonts w:ascii="Calibri" w:hAnsi="Calibri" w:eastAsia="맑은 고딕" w:cs="Calibri" w:hint="eastAsia"/>
          <w:color w:val="1A1A1A"/>
          <w:sz w:val="21"/>
          <w:szCs w:val="21"/>
        </w:rPr>
        <w:t xml:space="preserve">세 번째 열이 이 표의 목적이다. 추상적 진단을 관찰 가능한 행동으로 환원한다. 네 항목 모두 상대의 다음 행동이 우리에게 불리하다.</w:t>
      </w:r>
    </w:p>
    <w:p>
      <w:pPr>
        <w:keepNext/>
        <w:spacing w:before="240" w:after="100" w:line="300" w:lineRule="auto"/>
      </w:pPr>
      <w:r>
        <w:rPr>
          <w:rFonts w:ascii="Calibri" w:hAnsi="Calibri" w:eastAsia="맑은 고딕" w:cs="Calibri" w:hint="eastAsia"/>
          <w:b/>
          <w:bCs/>
          <w:color w:val="0B1F3A"/>
          <w:sz w:val="24"/>
          <w:szCs w:val="24"/>
        </w:rPr>
        <w:t xml:space="preserve">2.2 대외 채널 진단</w:t>
      </w:r>
    </w:p>
    <w:p>
      <w:pPr>
        <w:keepNext/>
        <w:spacing w:before="140" w:after="40" w:line="300" w:lineRule="auto"/>
      </w:pPr>
      <w:r>
        <w:rPr>
          <w:rFonts w:ascii="Calibri" w:hAnsi="Calibri" w:eastAsia="맑은 고딕" w:cs="Calibri" w:hint="eastAsia"/>
          <w:b/>
          <w:bCs/>
          <w:color w:val="555555"/>
          <w:sz w:val="19"/>
          <w:szCs w:val="19"/>
        </w:rPr>
        <w:t xml:space="preserve">표 3. 그룹 웹사이트 3개 채널 진단 결과</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채널</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판정</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주요 소견</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ganarnd.co.kr</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전면 재구축</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2013년 빌더 템플릿 기반. 자체 서명 인증서로 브라우저 보안 경고 발생. 모바일 미대응. 메타 정보 방치. 개인 이메일 노출</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gana-cosmetics.com</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부분 정비</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디자인 체계·B2B 문의 구조·4개 언어 보유. 그룹 표준으로 승격할 대상. 검색 미색인, 비교 문구, 클레임 범위 정비 필요</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drpark-cdmo.com</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개편</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2022년 정적 사이트. 단일 언어. 시설 수치가 사이트 내부에서 상충</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2.3 수요 발굴 구조의 문제</w:t>
      </w:r>
    </w:p>
    <w:p>
      <w:pPr>
        <w:spacing w:before="0" w:after="140" w:line="300" w:lineRule="auto"/>
        <w:jc w:val="both"/>
      </w:pPr>
      <w:r>
        <w:rPr>
          <w:rFonts w:ascii="Calibri" w:hAnsi="Calibri" w:eastAsia="맑은 고딕" w:cs="Calibri" w:hint="eastAsia"/>
          <w:color w:val="1A1A1A"/>
          <w:sz w:val="21"/>
          <w:szCs w:val="21"/>
        </w:rPr>
        <w:t xml:space="preserve">자사 제품명으로 검색하면 공식 채널이 상위에 노출되지 않고 유통사 사이트가 먼저 노출된다. 이것은 브랜드 침해가 아니라 구조적 결과다. 13년간 수요 발굴 기능을 유통사가 대행했고, 그에 상응해 브랜드 인지 지분이 유통 단계에 쌓였다.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과제를 정확히 정의하면 ‘브랜드를 회수한다’가 아니라 ‘수요 발굴 기능을 자사로 이전한다’이다. 앞의 표현은 유통사를 대립 관계로 두지만, 뒤의 표현은 자사가 해야 할 일을 특정한다.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3. 축 전환 제안</w:t>
      </w:r>
    </w:p>
    <w:p>
      <w:pPr>
        <w:keepNext/>
        <w:spacing w:before="240" w:after="100" w:line="300" w:lineRule="auto"/>
      </w:pPr>
      <w:r>
        <w:rPr>
          <w:rFonts w:ascii="Calibri" w:hAnsi="Calibri" w:eastAsia="맑은 고딕" w:cs="Calibri" w:hint="eastAsia"/>
          <w:b/>
          <w:bCs/>
          <w:color w:val="0B1F3A"/>
          <w:sz w:val="24"/>
          <w:szCs w:val="24"/>
        </w:rPr>
        <w:t xml:space="preserve">3.1 변경 범위</w:t>
      </w:r>
    </w:p>
    <w:p>
      <w:pPr>
        <w:spacing w:before="0" w:after="140" w:line="300" w:lineRule="auto"/>
        <w:jc w:val="both"/>
      </w:pPr>
      <w:r>
        <w:rPr>
          <w:rFonts w:ascii="Calibri" w:hAnsi="Calibri" w:eastAsia="맑은 고딕" w:cs="Calibri" w:hint="eastAsia"/>
          <w:color w:val="1A1A1A"/>
          <w:sz w:val="21"/>
          <w:szCs w:val="21"/>
        </w:rPr>
        <w:t xml:space="preserve">없애는 것은 없다. ‘세계 최대급’ 설비도, 6개 계열사도, 안티에이징도 그대로 간다. 바뀌는 것은 그 자랑을 어떻게 뒷받침하느냐다. 측정 기준(자)과 증명(등재번호)을 붙여, 있는 그대로 말해도 무너지지 않게 만든다.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안티에이징은 철회하지 않고 자리를 옮겨 배치한다. 내부에서는 목적으로 유지하고, 화장품 라인에서는 대외 사용도 그대로 둔다. 그 층에서는 정확한 서술이자 딜러가 실제 판매에 쓰는 단어이기 때문이다. 달라지는 것은 그룹 차원의 대표 문장으로, 공유된 카테고리 주장에서 제조 포지션으로 옮겨간다.</w:t>
      </w:r>
    </w:p>
    <w:p>
      <w:pPr>
        <w:keepNext/>
        <w:spacing w:before="140" w:after="40" w:line="300" w:lineRule="auto"/>
      </w:pPr>
      <w:r>
        <w:rPr>
          <w:rFonts w:ascii="Calibri" w:hAnsi="Calibri" w:eastAsia="맑은 고딕" w:cs="Calibri" w:hint="eastAsia"/>
          <w:b/>
          <w:bCs/>
          <w:color w:val="555555"/>
          <w:sz w:val="19"/>
          <w:szCs w:val="19"/>
        </w:rPr>
        <w:t xml:space="preserve">표 4. 축 전환 전후 비교</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현행</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변경안</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대외 주어</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노화 (효능)</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제조 주체 (사실)</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차별 근거</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광범위함 · 최대 규모</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제조자 지위 (등재 38건 · 5개 관할)</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상대의 다음 행동</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증명 요구</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등재 조회</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제시 자료</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없음</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등록번호 · GMP 인정서 · 공장</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입증 책임</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자사</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자사 (동일). 이행 가능</w:t>
            </w:r>
          </w:p>
        </w:tc>
      </w:tr>
    </w:tbl>
    <w:p>
      <w:pPr>
        <w:spacing w:after="0" w:line="120" w:lineRule="auto"/>
      </w:pP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입증 책임 자체는 그대로다. 달라지는 것은 그것을 이행할 능력이 생긴다는 점이다.</w:t>
      </w:r>
    </w:p>
    <w:p>
      <w:pPr>
        <w:keepNext/>
        <w:spacing w:before="240" w:after="100" w:line="300" w:lineRule="auto"/>
      </w:pPr>
      <w:r>
        <w:rPr>
          <w:rFonts w:ascii="Calibri" w:hAnsi="Calibri" w:eastAsia="맑은 고딕" w:cs="Calibri" w:hint="eastAsia"/>
          <w:b/>
          <w:bCs/>
          <w:color w:val="0B1F3A"/>
          <w:sz w:val="24"/>
          <w:szCs w:val="24"/>
        </w:rPr>
        <w:t xml:space="preserve">3.2 층별 적용: 완료형과 진행형</w:t>
      </w:r>
    </w:p>
    <w:p>
      <w:pPr>
        <w:spacing w:before="0" w:after="140" w:line="300" w:lineRule="auto"/>
        <w:jc w:val="both"/>
      </w:pPr>
      <w:r>
        <w:rPr>
          <w:rFonts w:ascii="Calibri" w:hAnsi="Calibri" w:eastAsia="맑은 고딕" w:cs="Calibri" w:hint="eastAsia"/>
          <w:color w:val="1A1A1A"/>
          <w:sz w:val="21"/>
          <w:szCs w:val="21"/>
        </w:rPr>
        <w:t xml:space="preserve">주장은 그룹 전체에 균일하게 적용되지 않는다. 각 층이 감당할 수 있는 깊이로 서술한다.</w:t>
      </w:r>
    </w:p>
    <w:p>
      <w:pPr>
        <w:keepNext/>
        <w:spacing w:before="140" w:after="40" w:line="300" w:lineRule="auto"/>
      </w:pPr>
      <w:r>
        <w:rPr>
          <w:rFonts w:ascii="Calibri" w:hAnsi="Calibri" w:eastAsia="맑은 고딕" w:cs="Calibri" w:hint="eastAsia"/>
          <w:b/>
          <w:bCs/>
          <w:color w:val="555555"/>
          <w:sz w:val="19"/>
          <w:szCs w:val="19"/>
        </w:rPr>
        <w:t xml:space="preserve">표 5. 층별 대외 문장과 근거</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층</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대외 문장</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근거</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표면 (필러·소재)</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“만들었습니다.”</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MFDS 27건 · РЗН 8건 · ANVISA 2건 · GMP KCL-ABBA-19926</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조직 (창상)</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“이미 등재되어 있습니다.”</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РЗН 2024/22431 · MFDS 제인20-4997</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세포·유전자 (AAV)</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“지었습니다. 인증은 2026년 목표입니다.”</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2025. 8. 5. 준공 · 장비 실명 · 공급사 공동 릴리스</w:t>
            </w:r>
          </w:p>
        </w:tc>
      </w:tr>
    </w:tbl>
    <w:p>
      <w:pPr>
        <w:spacing w:after="0" w:line="120" w:lineRule="auto"/>
      </w:pP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세 층을 하나의 주어로 잇는 문장은 쓰지 않는다. 하나로 묶으면 증명되지 않은 층이 증명된 층까지 의심 대상으로 끌어내린다. 자산가치는 등재 쪽이 크므로 이런 교환은 성립하지 않는다.</w:t>
      </w:r>
    </w:p>
    <w:p>
      <w:pPr>
        <w:keepNext/>
        <w:spacing w:before="240" w:after="100" w:line="300" w:lineRule="auto"/>
      </w:pPr>
      <w:r>
        <w:rPr>
          <w:rFonts w:ascii="Calibri" w:hAnsi="Calibri" w:eastAsia="맑은 고딕" w:cs="Calibri" w:hint="eastAsia"/>
          <w:b/>
          <w:bCs/>
          <w:color w:val="0B1F3A"/>
          <w:sz w:val="24"/>
          <w:szCs w:val="24"/>
        </w:rPr>
        <w:t xml:space="preserve">3.3 전환의 기대 효과</w:t>
      </w:r>
    </w:p>
    <w:p>
      <w:pPr>
        <w:keepNext/>
        <w:spacing w:before="140" w:after="40" w:line="300" w:lineRule="auto"/>
      </w:pPr>
      <w:r>
        <w:rPr>
          <w:rFonts w:ascii="Calibri" w:hAnsi="Calibri" w:eastAsia="맑은 고딕" w:cs="Calibri" w:hint="eastAsia"/>
          <w:b/>
          <w:bCs/>
          <w:color w:val="555555"/>
          <w:sz w:val="19"/>
          <w:szCs w:val="19"/>
        </w:rPr>
        <w:t xml:space="preserve">표 6. 기대 효과: 발생 순서</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시점</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효과</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내용</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즉시</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조회 경로 확보</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모든 주장에 조회 경로가 생긴다. ‘그게 사실입니까’라고 묻는 바이어에게 형용사가 아니라 등록번호를 건넨다</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영업 주기 내</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설득에서 확인으로</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대화의 성격이 이동한다. 확인은 문서를 가진 쪽에 유리하며, 제12장의 정정이 완료되면 그쪽은 우리다</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구조적</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정정과 브랜드의 통합</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등재를 게시하는 행위가 곧 축의 실행이므로, 정리만 하고 포지셔닝은 하지 않는 경로가 존재하지 않는다</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부수</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서열 인식 제거</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‘깊이’는 상하 관계가 아니다. 대상이 다를 뿐이므로 특정 사업부가 하위로 인식되지 않는다</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3.4 전략의 성격: 포지셔닝 우선</w:t>
      </w:r>
    </w:p>
    <w:p>
      <w:pPr>
        <w:spacing w:before="0" w:after="140" w:line="300" w:lineRule="auto"/>
        <w:jc w:val="both"/>
      </w:pPr>
      <w:r>
        <w:rPr>
          <w:rFonts w:ascii="Calibri" w:hAnsi="Calibri" w:eastAsia="맑은 고딕" w:cs="Calibri" w:hint="eastAsia"/>
          <w:color w:val="1A1A1A"/>
          <w:sz w:val="21"/>
          <w:szCs w:val="21"/>
        </w:rPr>
        <w:t xml:space="preserve">본 제안은 광고나 프로모션 계획이 아니라 포지셔닝 전략이다. 포지셔닝은 마케팅의 한 항목이 아니라 모든 마케팅이 그 위에 올라서는 토대다. 자리가 정해지지 않으면 어떤 문구와 채널, 예산을 얹어도 흔들린다. 그래서 채널과 캠페인보다 축을 먼저 세운다.</w:t>
      </w:r>
    </w:p>
    <w:p>
      <w:pPr>
        <w:spacing w:before="0" w:after="140" w:line="300" w:lineRule="auto"/>
        <w:jc w:val="both"/>
      </w:pPr>
      <w:r>
        <w:rPr>
          <w:rFonts w:ascii="Calibri" w:hAnsi="Calibri" w:eastAsia="맑은 고딕" w:cs="Calibri" w:hint="eastAsia"/>
          <w:color w:val="1A1A1A"/>
          <w:sz w:val="21"/>
          <w:szCs w:val="21"/>
        </w:rPr>
        <w:t xml:space="preserve">제조를 기반으로 한 B2B에서는 요란하게 드러내기보다 명확한 자리를 먼저 차지하고 증명으로 그 자리를 지키는 편이 맞다. 우리의 자산은 외침이 아니라 등재와 인증, 실적이며, 이것은 내세울 때보다 확인받을 때 힘을 가진다.</w:t>
      </w:r>
    </w:p>
    <w:p>
      <w:pPr>
        <w:spacing w:before="0" w:after="140" w:line="300" w:lineRule="auto"/>
        <w:jc w:val="both"/>
      </w:pPr>
      <w:r>
        <w:rPr>
          <w:rFonts w:ascii="Calibri" w:hAnsi="Calibri" w:eastAsia="맑은 고딕" w:cs="Calibri" w:hint="eastAsia"/>
          <w:color w:val="1A1A1A"/>
          <w:sz w:val="21"/>
          <w:szCs w:val="21"/>
        </w:rPr>
        <w:t xml:space="preserve">이 접근이 유효하다고 보는 근거는 두 가지다.</w:t>
      </w:r>
    </w:p>
    <w:p>
      <w:pPr>
        <w:spacing w:before="0" w:after="140" w:line="300" w:lineRule="auto"/>
        <w:jc w:val="both"/>
      </w:pPr>
      <w:r>
        <w:rPr>
          <w:rFonts w:ascii="Calibri" w:hAnsi="Calibri" w:eastAsia="맑은 고딕" w:cs="Calibri" w:hint="eastAsia"/>
          <w:color w:val="1A1A1A"/>
          <w:sz w:val="21"/>
          <w:szCs w:val="21"/>
        </w:rPr>
        <w:t xml:space="preserve">첫째, 실효의 증거다. (주)가나알엔디는 13년간 지금 수준의 웹사이트만으로도 성장했다. 이것은 웹이 필요 없다는 뜻이 아니라, 웹이 없는 상태에서도 성장할 만큼 제품과 제조 실적이 강했다는 증거다. 그 성장에 대한 인지가 수요 발굴을 대행한 유통 단계에 쌓였을 뿐이다(제2.3절). 본질은 이미 검증되었고, 아직 자사로 귀속되지 않은 것은 인지 하나다.</w:t>
      </w:r>
    </w:p>
    <w:p>
      <w:pPr>
        <w:spacing w:before="0" w:after="140" w:line="300" w:lineRule="auto"/>
        <w:jc w:val="both"/>
      </w:pPr>
      <w:r>
        <w:rPr>
          <w:rFonts w:ascii="Calibri" w:hAnsi="Calibri" w:eastAsia="맑은 고딕" w:cs="Calibri" w:hint="eastAsia"/>
          <w:color w:val="1A1A1A"/>
          <w:sz w:val="21"/>
          <w:szCs w:val="21"/>
        </w:rPr>
        <w:t xml:space="preserve">둘째, 시점의 신호다. 최근 자사의 제조·설비 역량을 외부에서 먼저 주목하는 사례가 나오고 있다(써모피셔 협업 건). 실적이 임계에 이르러 유입이 시작되는 국면이다. 그런데 지금 찾아온 상대가 확인을 위해 자사 채널에 도달해도 얻을 것이 없다. 게시된 등록번호는 0건이고(제1.1절), 보여줄 인증과 실적은 이미 확보해 두고도 아직 올리지 않았다.</w:t>
      </w:r>
    </w:p>
    <w:p>
      <w:pPr>
        <w:spacing w:before="0" w:after="140" w:line="300" w:lineRule="auto"/>
        <w:jc w:val="both"/>
      </w:pPr>
      <w:r>
        <w:rPr>
          <w:rFonts w:ascii="Calibri" w:hAnsi="Calibri" w:eastAsia="맑은 고딕" w:cs="Calibri" w:hint="eastAsia"/>
          <w:color w:val="1A1A1A"/>
          <w:sz w:val="21"/>
          <w:szCs w:val="21"/>
        </w:rPr>
        <w:t xml:space="preserve">결론적으로 이 전략은 새로운 주장을 지어내는 일이 아니라, 이미 쌓인 자산을 제자리에 배치해 유입된 주목이 확인으로 완결되게 하는 일이다. 본 제안을 포지셔닝 전략이라 부르는 이유가 여기에 있다.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4. 브랜드 아키텍처</w:t>
      </w:r>
    </w:p>
    <w:p>
      <w:pPr>
        <w:spacing w:before="0" w:after="140" w:line="300" w:lineRule="auto"/>
        <w:jc w:val="both"/>
      </w:pPr>
      <w:r>
        <w:rPr>
          <w:rFonts w:ascii="Calibri" w:hAnsi="Calibri" w:eastAsia="맑은 고딕" w:cs="Calibri" w:hint="eastAsia"/>
          <w:color w:val="1A1A1A"/>
          <w:sz w:val="21"/>
          <w:szCs w:val="21"/>
        </w:rPr>
        <w:t xml:space="preserve">계열사 소개 기준을 ‘노화 개입 레벨’에서 ‘제조 깊이’로 바꾼다. 계열사 구성과 중요도 순서는 그대로 두고, 설명 기준만 바꾼다.</w:t>
      </w:r>
    </w:p>
    <w:p>
      <w:pPr>
        <w:keepNext/>
        <w:spacing w:before="240" w:after="100" w:line="300" w:lineRule="auto"/>
      </w:pPr>
      <w:r>
        <w:rPr>
          <w:rFonts w:ascii="Calibri" w:hAnsi="Calibri" w:eastAsia="맑은 고딕" w:cs="Calibri" w:hint="eastAsia"/>
          <w:b/>
          <w:bCs/>
          <w:color w:val="0B1F3A"/>
          <w:sz w:val="24"/>
          <w:szCs w:val="24"/>
        </w:rPr>
        <w:t xml:space="preserve">4.1 제조 깊이 3층 구조</w:t>
      </w:r>
    </w:p>
    <w:p>
      <w:pPr>
        <w:keepNext/>
        <w:spacing w:before="140" w:after="40" w:line="300" w:lineRule="auto"/>
      </w:pPr>
      <w:r>
        <w:rPr>
          <w:rFonts w:ascii="Calibri" w:hAnsi="Calibri" w:eastAsia="맑은 고딕" w:cs="Calibri" w:hint="eastAsia"/>
          <w:b/>
          <w:bCs/>
          <w:color w:val="555555"/>
          <w:sz w:val="19"/>
          <w:szCs w:val="19"/>
        </w:rPr>
        <w:t xml:space="preserve">그림 1. 제조 깊이 3층 구조: 상하 서열이 아니라 제조 대상의 깊이</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(도해: 표면, 조직, 세포·유전자의 세 개 층으로 이뤄진 제조 깊이 구조를 나타내는 그림. 위아래 서열이 아니라 다루는 제조 대상의 깊이를 표현한다.)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구조 해석.</w:t>
      </w:r>
      <w:r>
        <w:rPr>
          <w:rFonts w:ascii="Calibri" w:hAnsi="Calibri" w:eastAsia="맑은 고딕" w:cs="Calibri" w:hint="eastAsia"/>
          <w:color w:val="1A1A1A"/>
          <w:sz w:val="20"/>
          <w:szCs w:val="20"/>
        </w:rPr>
        <w:t xml:space="preserve"> 이 구조는 서열이 아니라 제조 대상의 깊이를 나타낸다. 제3층이 제1층보다 위에 있는 것이 아니라 다루는 대상이 다르다. 그래서 특정 사업부가 하위로 인식되는 문제가 생기지 않는다.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 층별 제조 품목·제조 주체·대상 고객·운용 언어·성과 지표는 부록 D에 정리하였다.</w:t>
      </w:r>
    </w:p>
    <w:p>
      <w:pPr>
        <w:keepNext/>
        <w:spacing w:before="240" w:after="100" w:line="300" w:lineRule="auto"/>
      </w:pPr>
      <w:r>
        <w:rPr>
          <w:rFonts w:ascii="Calibri" w:hAnsi="Calibri" w:eastAsia="맑은 고딕" w:cs="Calibri" w:hint="eastAsia"/>
          <w:b/>
          <w:bCs/>
          <w:color w:val="0B1F3A"/>
          <w:sz w:val="24"/>
          <w:szCs w:val="24"/>
        </w:rPr>
        <w:t xml:space="preserve">4.2 계열사 배치</w:t>
      </w:r>
    </w:p>
    <w:p>
      <w:pPr>
        <w:spacing w:before="0" w:after="140" w:line="300" w:lineRule="auto"/>
        <w:jc w:val="both"/>
      </w:pPr>
      <w:r>
        <w:rPr>
          <w:rFonts w:ascii="Calibri" w:hAnsi="Calibri" w:eastAsia="맑은 고딕" w:cs="Calibri" w:hint="eastAsia"/>
          <w:color w:val="1A1A1A"/>
          <w:sz w:val="21"/>
          <w:szCs w:val="21"/>
        </w:rPr>
        <w:t xml:space="preserve">계열사는 모두 유지한다. 달라지는 것은 제시 순서다. 제조를 수행하는 법인을 앞에, 공급과 전개를 담당하는 법인을 뒤에 배치한다.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주의.</w:t>
      </w:r>
      <w:r>
        <w:rPr>
          <w:rFonts w:ascii="Calibri" w:hAnsi="Calibri" w:eastAsia="맑은 고딕" w:cs="Calibri" w:hint="eastAsia"/>
          <w:color w:val="1A1A1A"/>
          <w:sz w:val="20"/>
          <w:szCs w:val="20"/>
        </w:rPr>
        <w:t xml:space="preserve"> 계열사 총수는 계열 범위 확인(제11장 11.1)이 끝난 뒤에 확정한다. 현재 그룹 명칭을 쓰는 법인의 범위가 자료마다 다르므로, 확정 이전에는 대외 자료에 계열사 수를 밝히지 않는다.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5. 근거 자료</w:t>
      </w:r>
    </w:p>
    <w:p>
      <w:pPr>
        <w:spacing w:before="0" w:after="140" w:line="300" w:lineRule="auto"/>
        <w:jc w:val="both"/>
      </w:pPr>
      <w:r>
        <w:rPr>
          <w:rFonts w:ascii="Calibri" w:hAnsi="Calibri" w:eastAsia="맑은 고딕" w:cs="Calibri" w:hint="eastAsia"/>
          <w:color w:val="1A1A1A"/>
          <w:sz w:val="21"/>
          <w:szCs w:val="21"/>
        </w:rPr>
        <w:t xml:space="preserve">본 제안은 2026년 7월 22일 실시한 공개 레지스트리 전수 조사 결과에 근거한다. 조사 방법과 신뢰도 표기 체계는 부록 A에 정리하였다.</w:t>
      </w:r>
    </w:p>
    <w:p>
      <w:pPr>
        <w:keepNext/>
        <w:spacing w:before="240" w:after="100" w:line="300" w:lineRule="auto"/>
      </w:pPr>
      <w:r>
        <w:rPr>
          <w:rFonts w:ascii="Calibri" w:hAnsi="Calibri" w:eastAsia="맑은 고딕" w:cs="Calibri" w:hint="eastAsia"/>
          <w:b/>
          <w:bCs/>
          <w:color w:val="0B1F3A"/>
          <w:sz w:val="24"/>
          <w:szCs w:val="24"/>
        </w:rPr>
        <w:t xml:space="preserve">5.1 등재 요지</w:t>
      </w:r>
    </w:p>
    <w:p>
      <w:pPr>
        <w:spacing w:before="0" w:after="140" w:line="300" w:lineRule="auto"/>
        <w:jc w:val="both"/>
      </w:pPr>
      <w:r>
        <w:rPr>
          <w:rFonts w:ascii="Calibri" w:hAnsi="Calibri" w:eastAsia="맑은 고딕" w:cs="Calibri" w:hint="eastAsia"/>
          <w:color w:val="1A1A1A"/>
          <w:sz w:val="21"/>
          <w:szCs w:val="21"/>
        </w:rPr>
        <w:t xml:space="preserve">러시아 연방보건감독청 공개 데이터베이스에서 GANA R&amp;D가 제조사로 기재된 유효 등록 8건을 확인하였다. 제조사명과 소재지가 일치하며 동일 명칭 타사와의 혼입은 없다. 히알루론산·PLLA·PCL·칼슘의 4개 성분 계열과 창상피복재가 포함되어 있다.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표기 주의.</w:t>
      </w:r>
      <w:r>
        <w:rPr>
          <w:rFonts w:ascii="Calibri" w:hAnsi="Calibri" w:eastAsia="맑은 고딕" w:cs="Calibri" w:hint="eastAsia"/>
          <w:color w:val="1A1A1A"/>
          <w:sz w:val="20"/>
          <w:szCs w:val="20"/>
        </w:rPr>
        <w:t xml:space="preserve"> ‘우리 이름으로 등록’이라는 표현은 쓰지 않는다. 8건의 등록 명의인은 현지 대리인이고, GANA R&amp;D는 제조사란에 기재되어 있다. 정확한 표현은 ‘제조자로 기재된 등록 8건’이다. 제조 주체를 축으로 삼는 본 제안에서는 이 표현이 더 정확하고 강하다.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현행 활용 상태.</w:t>
      </w:r>
      <w:r>
        <w:rPr>
          <w:rFonts w:ascii="Calibri" w:hAnsi="Calibri" w:eastAsia="맑은 고딕" w:cs="Calibri" w:hint="eastAsia"/>
          <w:color w:val="1A1A1A"/>
          <w:sz w:val="20"/>
          <w:szCs w:val="20"/>
        </w:rPr>
        <w:t xml:space="preserve"> 지금 웹사이트에는 등록번호가 전혀 적혀 있지 않고 ‘Russia FDA approved’라는 문구만 게시되어 있다. ‘Russia FDA’는 존재하지 않는 기관명이며, 실제 기관은 러시아 연방보건감독청이다. 이 문구를 등록번호 8건과 조회 링크로 대체하는 것이 추가 비용 없이 얻을 수 있는 가장 큰 개선이다.</w:t>
      </w:r>
    </w:p>
    <w:p>
      <w:pPr>
        <w:keepNext/>
        <w:spacing w:before="240" w:after="100" w:line="300" w:lineRule="auto"/>
      </w:pPr>
      <w:r>
        <w:rPr>
          <w:rFonts w:ascii="Calibri" w:hAnsi="Calibri" w:eastAsia="맑은 고딕" w:cs="Calibri" w:hint="eastAsia"/>
          <w:b/>
          <w:bCs/>
          <w:color w:val="0B1F3A"/>
          <w:sz w:val="24"/>
          <w:szCs w:val="24"/>
        </w:rPr>
        <w:t xml:space="preserve">5.2 검증 결과 요지</w:t>
      </w:r>
    </w:p>
    <w:p>
      <w:pPr>
        <w:keepNext/>
        <w:spacing w:before="140" w:after="40" w:line="300" w:lineRule="auto"/>
      </w:pPr>
      <w:r>
        <w:rPr>
          <w:rFonts w:ascii="Calibri" w:hAnsi="Calibri" w:eastAsia="맑은 고딕" w:cs="Calibri" w:hint="eastAsia"/>
          <w:b/>
          <w:bCs/>
          <w:color w:val="555555"/>
          <w:sz w:val="19"/>
          <w:szCs w:val="19"/>
        </w:rPr>
        <w:t xml:space="preserve">표 7. 대외 표기 인증의 검증 결과 (요약)</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구분</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유효 · 활용 가능</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러시아 등재 8건 · MFDS GMP 적합인정(~2027. 3. 3.) · MFDS 품목허가 27건 · 영국 MHRA Class III · EU EUDAMED 제조자 등록 · 브라질 ANVISA 2건</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기한 만료 (게시 중단)</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EU CE 인증서(2024. 5. 27. 만료) · ISO 인증서</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표기 오류 (즉시 정정)</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‘Russia FDA’ · ‘FDA approved / Registered’ · ‘KFDA’</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미확인 (사용 금지)</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미국 FDA 의료기기 등록 · ISO 13485 / 22716 원본</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제도상 검증 불가</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EU CPNP (자사 귀책 사항이 아님)</w:t>
            </w:r>
          </w:p>
        </w:tc>
      </w:tr>
    </w:tbl>
    <w:p>
      <w:pPr>
        <w:spacing w:after="0" w:line="120" w:lineRule="auto"/>
      </w:pP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 항목별 상세 근거와 조회 경로는 부록 C. ‘검증 불가’는 등재 부재를 의미하지 않는다.</w:t>
      </w:r>
    </w:p>
    <w:p>
      <w:pPr>
        <w:keepNext/>
        <w:spacing w:before="240" w:after="100" w:line="300" w:lineRule="auto"/>
      </w:pPr>
      <w:r>
        <w:rPr>
          <w:rFonts w:ascii="Calibri" w:hAnsi="Calibri" w:eastAsia="맑은 고딕" w:cs="Calibri" w:hint="eastAsia"/>
          <w:b/>
          <w:bCs/>
          <w:color w:val="0B1F3A"/>
          <w:sz w:val="24"/>
          <w:szCs w:val="24"/>
        </w:rPr>
        <w:t xml:space="preserve">5.3 즉시 정정 대상 (사이트 표기)</w:t>
      </w:r>
    </w:p>
    <w:p>
      <w:pPr>
        <w:spacing w:before="0" w:after="140" w:line="300" w:lineRule="auto"/>
        <w:jc w:val="both"/>
      </w:pPr>
      <w:r>
        <w:rPr>
          <w:rFonts w:ascii="Calibri" w:hAnsi="Calibri" w:eastAsia="맑은 고딕" w:cs="Calibri" w:hint="eastAsia"/>
          <w:color w:val="1A1A1A"/>
          <w:sz w:val="21"/>
          <w:szCs w:val="21"/>
        </w:rPr>
        <w:t xml:space="preserve">정정 항목 전체와 실행 순서는 제9.2절에 정리하였다. 본 절에서는 사이트에 현재 게시된 표기 중 우선 정정 대상을 명시한다.</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현행 표기</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정정</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‘Russia FDA approved’</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존재하지 않는 기관명. 실제 등록번호 + 조회 링크로 대체</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‘FDA approved’ · ‘FDA Registered’ (제품명 내 표기 포함)</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등록은 승인이 아니다. 삭제하거나 등록 성격을 명시</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기한 만료 인증 배지</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내림 + 현행 GMP 인정서 게시. 가진 자격을 쓰면 자산이 늘어난다</w:t>
            </w:r>
          </w:p>
        </w:tc>
      </w:tr>
    </w:tbl>
    <w:p>
      <w:pPr>
        <w:spacing w:after="0" w:line="120" w:lineRule="auto"/>
      </w:pPr>
    </w:p>
    <w:p>
      <w:r>
        <w:br w:type="page"/>
      </w:r>
    </w:p>
    <w:p>
      <w:pPr>
        <w:keepNext/>
        <w:spacing w:before="320" w:after="140" w:line="300" w:lineRule="auto"/>
      </w:pPr>
      <w:r>
        <w:rPr>
          <w:rFonts w:ascii="Calibri" w:hAnsi="Calibri" w:eastAsia="맑은 고딕" w:cs="Calibri" w:hint="eastAsia"/>
          <w:b/>
          <w:bCs/>
          <w:color w:val="0B1F3A"/>
          <w:sz w:val="30"/>
          <w:szCs w:val="30"/>
        </w:rPr>
        <w:t xml:space="preserve">6. 언어 체계</w:t>
      </w:r>
    </w:p>
    <w:p>
      <w:pPr>
        <w:keepNext/>
        <w:spacing w:before="240" w:after="100" w:line="300" w:lineRule="auto"/>
      </w:pPr>
      <w:r>
        <w:rPr>
          <w:rFonts w:ascii="Calibri" w:hAnsi="Calibri" w:eastAsia="맑은 고딕" w:cs="Calibri" w:hint="eastAsia"/>
          <w:b/>
          <w:bCs/>
          <w:color w:val="0B1F3A"/>
          <w:sz w:val="24"/>
          <w:szCs w:val="24"/>
        </w:rPr>
        <w:t xml:space="preserve">6.1 슬로건 작성 조건</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이 절에서는 문안을 확정하지 않는다. 슬로건 문안은 제3장의 축이 승인된 뒤에 작성한다. 축이 정해지지 않은 채 문안을 먼저 확정하면 축이 바뀔 때 전체를 다시 써야 한다. 이번 판에서는 문안이 지켜야 할 조건만 규정한다.</w:t>
      </w:r>
    </w:p>
    <w:p>
      <w:pPr>
        <w:keepNext/>
        <w:spacing w:before="140" w:after="40" w:line="300" w:lineRule="auto"/>
      </w:pPr>
      <w:r>
        <w:rPr>
          <w:rFonts w:ascii="Calibri" w:hAnsi="Calibri" w:eastAsia="맑은 고딕" w:cs="Calibri" w:hint="eastAsia"/>
          <w:b/>
          <w:bCs/>
          <w:color w:val="555555"/>
          <w:sz w:val="19"/>
          <w:szCs w:val="19"/>
        </w:rPr>
        <w:t xml:space="preserve">표 8. 슬로건 작성 조건</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번호</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조건</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1</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서술어가 문장의 중심이 되어야 한다. 범위 표현(‘표면부터 세포까지’)을 단독으로 사용하면 폐기 대상인 ‘광범위함’ 프레임으로 회귀한다</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2</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양 끝단을 하나의 주어로 잇지 않는다. 제3.2절의 층별 시제를 위반하는 문안은 채택하지 않는다</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3</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계열사별로 분리한다. 그룹 문안과 화장품 부문 문안을 똑같이 쓰지 않는다. 화장품 부문은 안티에이징 표현을 유지한다</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4</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법인 단수를 주어로 쓴다. 자본관계 확인 이전에는 그룹을 단일 주어로 사용하지 않는다</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5</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영문판이 정본이다. 국문을 먼저 확정한 뒤 번역하지 않는다. 영문으로 성립하지 않는 문안은 채택하지 않는다</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6.2 사용 제한 요지</w:t>
      </w:r>
    </w:p>
    <w:p>
      <w:pPr>
        <w:spacing w:before="0" w:after="140" w:line="300" w:lineRule="auto"/>
        <w:jc w:val="both"/>
      </w:pPr>
      <w:r>
        <w:rPr>
          <w:rFonts w:ascii="Calibri" w:hAnsi="Calibri" w:eastAsia="맑은 고딕" w:cs="Calibri" w:hint="eastAsia"/>
          <w:color w:val="1A1A1A"/>
          <w:sz w:val="21"/>
          <w:szCs w:val="21"/>
        </w:rPr>
        <w:t xml:space="preserve">제한 표현 전체 목록은 부록 E에 정리하였다. 본 절에서는 제2판에서 새로 추가된 항목만 명시한다.</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표현</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구분</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사유</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‘우리 이름으로 등록’</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등록 명의인은 현지 대리인. ‘제조자로 기재’가 정확한 표현</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원료 자체 합성 주장</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자산대장 미확인. 등재는 제조 범위를 증명하나 원료 합성을 증명하지 않는다</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확정되지 않은 용량 수치</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동결</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11.1. 확정 이전 신규 자료 게시 금지</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그룹 단일 주어</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보류</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자본관계 확인 이전 사용 금지</w:t>
            </w:r>
          </w:p>
        </w:tc>
      </w:tr>
    </w:tbl>
    <w:p>
      <w:pPr>
        <w:spacing w:after="0" w:line="120" w:lineRule="auto"/>
      </w:pPr>
    </w:p>
    <w:p>
      <w:r>
        <w:br w:type="page"/>
      </w:r>
    </w:p>
    <w:p>
      <w:pPr>
        <w:keepNext/>
        <w:spacing w:before="320" w:after="140" w:line="300" w:lineRule="auto"/>
      </w:pPr>
      <w:r>
        <w:rPr>
          <w:rFonts w:ascii="Calibri" w:hAnsi="Calibri" w:eastAsia="맑은 고딕" w:cs="Calibri" w:hint="eastAsia"/>
          <w:b/>
          <w:bCs/>
          <w:color w:val="0B1F3A"/>
          <w:sz w:val="30"/>
          <w:szCs w:val="30"/>
        </w:rPr>
        <w:t xml:space="preserve">7. 규모 표현 기준</w:t>
      </w:r>
    </w:p>
    <w:p>
      <w:pPr>
        <w:spacing w:before="0" w:after="140" w:line="300" w:lineRule="auto"/>
        <w:jc w:val="both"/>
      </w:pPr>
      <w:r>
        <w:rPr>
          <w:rFonts w:ascii="Calibri" w:hAnsi="Calibri" w:eastAsia="맑은 고딕" w:cs="Calibri" w:hint="eastAsia"/>
          <w:color w:val="1A1A1A"/>
          <w:sz w:val="21"/>
          <w:szCs w:val="21"/>
        </w:rPr>
        <w:t xml:space="preserve">‘세계 최대급’ 표현은 유지한다. 삭제하지 않고, 실사에서 트집 잡히지 않도록 측정 기준(자)을 붙인다. 관건은 최상급 자체가 아니라 측정 축이 없거나 자사 수치가 서로 어긋나는 형태다. 경쟁사 용량 조사 결과는 부록 F에 정리하였다.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지금의 표기가 트집 잡히는 이유와 해소법.</w:t>
      </w:r>
      <w:r>
        <w:rPr>
          <w:rFonts w:ascii="Calibri" w:hAnsi="Calibri" w:eastAsia="맑은 고딕" w:cs="Calibri" w:hint="eastAsia"/>
          <w:color w:val="1A1A1A"/>
          <w:sz w:val="20"/>
          <w:szCs w:val="20"/>
        </w:rPr>
        <w:t xml:space="preserve"> 가. 측정 축 부재: ‘World largest AAV vector CDMO’는 무엇을 기준으로 최대인지 밝히지 않는다. Viralgen도 총 시설 기준으로 같은 주장을 한다. ‘단일 배치’ 같은 축을 명시하면 충돌이 사라진다. 나. 자사 수치 상충: 5,000/6,000/200,000L. 최상급을 무효화하는 것은 경쟁사가 아니라 자사 진술의 상충이므로, 수치 동결(11.1)로 해소한다. 다. 미조사 사업자: 대형 CDMO 다수의 단일 배치 용량이 미확인이다. 확인 전까지 ‘one of ~’ 형태로 유지하고, 확인 후 단정형으로 격상한다.</w:t>
      </w:r>
    </w:p>
    <w:p>
      <w:pPr>
        <w:keepNext/>
        <w:spacing w:before="140" w:after="40" w:line="300" w:lineRule="auto"/>
      </w:pPr>
      <w:r>
        <w:rPr>
          <w:rFonts w:ascii="Calibri" w:hAnsi="Calibri" w:eastAsia="맑은 고딕" w:cs="Calibri" w:hint="eastAsia"/>
          <w:b/>
          <w:bCs/>
          <w:color w:val="555555"/>
          <w:sz w:val="19"/>
          <w:szCs w:val="19"/>
        </w:rPr>
        <w:t xml:space="preserve">표 9. 규모 표현 등급: 유지하되 형태를 고른다</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등급</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문구</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조건 · 근거</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사용 가능</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“one of the world’s largest and most advanced AAV production capacities” (자사 영상 문구)</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‘one of’로 한정 · Forge Biologics 동급 표현 · 회장 승인 영상에 이미 기게재</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사용 가능</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“AAV 생산 설계 용량 기준 세계 최대급 Phase 1 시설 (2025년 8월 준공, cGMP 2026년 목표)”</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측정 축(설계 용량) + 시제 명시</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보조</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“업계 공개 단일 배치 최대는 2,000L이며, 당사 설계 용량은 이를 상회한다”</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경쟁사 수치 제시 + 자사 대비</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완화 후 사용</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“World largest AAV vector CDMO” (무한정 최상급)</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측정 축 부재. ‘one of ~ class’ 또는 축 명시로 완화</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격상(향후)</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“단일 배치 세계 최대” (단정)</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수치 확정 + WuXi·Catalent·Charles River 확인 후</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동결</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확정되지 않은 배치 용량 수치</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11.1 (자사 진술 상충 방지)</w:t>
            </w:r>
          </w:p>
        </w:tc>
      </w:tr>
    </w:tbl>
    <w:p>
      <w:pPr>
        <w:spacing w:after="0" w:line="120" w:lineRule="auto"/>
      </w:pPr>
    </w:p>
    <w:p>
      <w:pPr>
        <w:spacing w:before="0" w:after="140" w:line="300" w:lineRule="auto"/>
        <w:jc w:val="both"/>
      </w:pPr>
      <w:r>
        <w:rPr>
          <w:rFonts w:ascii="Calibri" w:hAnsi="Calibri" w:eastAsia="맑은 고딕" w:cs="Calibri" w:hint="eastAsia"/>
          <w:color w:val="1A1A1A"/>
          <w:sz w:val="21"/>
          <w:szCs w:val="21"/>
        </w:rPr>
        <w:t xml:space="preserve">시제 표기는 필수다. 확장 계획은 현재 가동 용량이 아니다. 계획 용량을 현재 사실처럼 표기하면 현장 실사 한 번으로 신뢰를 잃는다.</w:t>
      </w:r>
    </w:p>
    <w:p>
      <w:pPr>
        <w:spacing w:before="0" w:after="140" w:line="300" w:lineRule="auto"/>
        <w:jc w:val="both"/>
      </w:pPr>
      <w:r>
        <w:rPr>
          <w:rFonts w:ascii="Calibri" w:hAnsi="Calibri" w:eastAsia="맑은 고딕" w:cs="Calibri" w:hint="eastAsia"/>
          <w:color w:val="1A1A1A"/>
          <w:sz w:val="21"/>
          <w:szCs w:val="21"/>
        </w:rPr>
        <w:t xml:space="preserve">규모는 단독으로 제시하지 않고 목적과 함께 제시한다. 유전자치료 비용의 주요 병목이 벡터 제조 단가이므로, 배치 규모를 키우면 투여량당 원가 절감으로 이어진다. 이 인과를 밝히면 규모가 표제가 아니라 근거로 기능한다.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8. 웹의 역할</w:t>
      </w:r>
    </w:p>
    <w:p>
      <w:pPr>
        <w:spacing w:before="0" w:after="140" w:line="300" w:lineRule="auto"/>
        <w:jc w:val="both"/>
      </w:pPr>
      <w:r>
        <w:rPr>
          <w:rFonts w:ascii="Calibri" w:hAnsi="Calibri" w:eastAsia="맑은 고딕" w:cs="Calibri" w:hint="eastAsia"/>
          <w:color w:val="1A1A1A"/>
          <w:sz w:val="21"/>
          <w:szCs w:val="21"/>
        </w:rPr>
        <w:t xml:space="preserve">제1부(제1~7장)는 리브랜딩의 방향을 정의했다. 제2부는 그 방향이 웹사이트에서 어떻게 실현되는가를 다룬다. 이는 애초 의뢰받은 과업, 곧 웹 재구축의 범위이기도 하다.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제2부의 전제.</w:t>
      </w:r>
      <w:r>
        <w:rPr>
          <w:rFonts w:ascii="Calibri" w:hAnsi="Calibri" w:eastAsia="맑은 고딕" w:cs="Calibri" w:hint="eastAsia"/>
          <w:color w:val="1A1A1A"/>
          <w:sz w:val="20"/>
          <w:szCs w:val="20"/>
        </w:rPr>
        <w:t xml:space="preserve"> 새 축은 “우리를 설명하는 것을 그만두고 번호를 건넨다”이다. 문장은 주장이고, 그 번호를 실제로 건네는 장소가 웹사이트다. 바이어가 “그게 사실입니까”라고 물으면 확인하러 오는 곳이 사이트이기 때문이다. 웹 재구축이 이 계획의 곁가지가 아니라 축이 사실로 바뀌는 지점인 이유가 여기에 있다.</w:t>
      </w:r>
    </w:p>
    <w:p>
      <w:pPr>
        <w:keepNext/>
        <w:spacing w:before="240" w:after="100" w:line="300" w:lineRule="auto"/>
      </w:pPr>
      <w:r>
        <w:rPr>
          <w:rFonts w:ascii="Calibri" w:hAnsi="Calibri" w:eastAsia="맑은 고딕" w:cs="Calibri" w:hint="eastAsia"/>
          <w:b/>
          <w:bCs/>
          <w:color w:val="0B1F3A"/>
          <w:sz w:val="24"/>
          <w:szCs w:val="24"/>
        </w:rPr>
        <w:t xml:space="preserve">8.1 증거를 싣는 곳</w:t>
      </w:r>
    </w:p>
    <w:p>
      <w:pPr>
        <w:spacing w:before="0" w:after="140" w:line="300" w:lineRule="auto"/>
        <w:jc w:val="both"/>
      </w:pPr>
      <w:r>
        <w:rPr>
          <w:rFonts w:ascii="Calibri" w:hAnsi="Calibri" w:eastAsia="맑은 고딕" w:cs="Calibri" w:hint="eastAsia"/>
          <w:color w:val="1A1A1A"/>
          <w:sz w:val="21"/>
          <w:szCs w:val="21"/>
        </w:rPr>
        <w:t xml:space="preserve">새 축은 결국 “물으면 등재 내역을 건넨다” 하나에 걸려 있다. 그 건네는 행위가 실제로 일어나는 장소가 사이트다.</w:t>
      </w:r>
    </w:p>
    <w:p>
      <w:pPr>
        <w:keepNext/>
        <w:spacing w:before="140" w:after="40" w:line="300" w:lineRule="auto"/>
      </w:pPr>
      <w:r>
        <w:rPr>
          <w:rFonts w:ascii="Calibri" w:hAnsi="Calibri" w:eastAsia="맑은 고딕" w:cs="Calibri" w:hint="eastAsia"/>
          <w:b/>
          <w:bCs/>
          <w:color w:val="555555"/>
          <w:sz w:val="19"/>
          <w:szCs w:val="19"/>
        </w:rPr>
        <w:t xml:space="preserve">표 10. 등재 게시의 현행과 목표</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현행</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되어야 할 것</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제품 등재 38건, 사이트 게시 번호 0건</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등록번호 + 조회 링크가 제품마다 붙는다</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그 자리에 “Russia FDA approved” (없는 기관)</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실제 등록번호로 대체 (РЗН · MHRA · ANVISA · MFDS)</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만료 인증 배지 게시</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만료본 내림 + 현행 GMP 인정서 게시</w:t>
            </w:r>
          </w:p>
        </w:tc>
      </w:tr>
    </w:tbl>
    <w:p>
      <w:pPr>
        <w:spacing w:after="0" w:line="120" w:lineRule="auto"/>
      </w:pPr>
    </w:p>
    <w:p>
      <w:pPr>
        <w:spacing w:before="0" w:after="140" w:line="300" w:lineRule="auto"/>
        <w:jc w:val="both"/>
      </w:pPr>
      <w:r>
        <w:rPr>
          <w:rFonts w:ascii="Calibri" w:hAnsi="Calibri" w:eastAsia="맑은 고딕" w:cs="Calibri" w:hint="eastAsia"/>
          <w:color w:val="1A1A1A"/>
          <w:sz w:val="21"/>
          <w:szCs w:val="21"/>
        </w:rPr>
        <w:t xml:space="preserve">전체 계획에서 투입 대비 효과가 가장 큰 단일 항목이다. 순수 웹 작업이고 비용은 0원이다. 이 작업 하나가 축을 “말”에서 “사실”로 바꾼다.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신설: 인증·등재 자료실 (제9.1절).</w:t>
      </w:r>
      <w:r>
        <w:rPr>
          <w:rFonts w:ascii="Calibri" w:hAnsi="Calibri" w:eastAsia="맑은 고딕" w:cs="Calibri" w:hint="eastAsia"/>
          <w:color w:val="1A1A1A"/>
          <w:sz w:val="20"/>
          <w:szCs w:val="20"/>
        </w:rPr>
        <w:t xml:space="preserve"> 관할별 등록번호와 조회 링크를 한곳에 모은 페이지로, 실사자·바이어·애널리스트가 가장 먼저 여는 지면이 된다.</w:t>
      </w:r>
    </w:p>
    <w:p>
      <w:pPr>
        <w:keepNext/>
        <w:spacing w:before="240" w:after="100" w:line="300" w:lineRule="auto"/>
      </w:pPr>
      <w:r>
        <w:rPr>
          <w:rFonts w:ascii="Calibri" w:hAnsi="Calibri" w:eastAsia="맑은 고딕" w:cs="Calibri" w:hint="eastAsia"/>
          <w:b/>
          <w:bCs/>
          <w:color w:val="0B1F3A"/>
          <w:sz w:val="24"/>
          <w:szCs w:val="24"/>
        </w:rPr>
        <w:t xml:space="preserve">8.2 수요 발굴을 자사로 이전</w:t>
      </w:r>
    </w:p>
    <w:p>
      <w:pPr>
        <w:spacing w:before="0" w:after="140" w:line="300" w:lineRule="auto"/>
        <w:jc w:val="both"/>
      </w:pPr>
      <w:r>
        <w:rPr>
          <w:rFonts w:ascii="Calibri" w:hAnsi="Calibri" w:eastAsia="맑은 고딕" w:cs="Calibri" w:hint="eastAsia"/>
          <w:color w:val="1A1A1A"/>
          <w:sz w:val="21"/>
          <w:szCs w:val="21"/>
        </w:rPr>
        <w:t xml:space="preserve">13년간 수요 발굴을 유통사가 대행했고, 그 결과 자사 제품명으로 검색하면 유통사 사이트가 우리보다 먼저 뜬다. 브랜드를 침해당한 것이 아니라 구조가 만든 결과이며, 이것은 웹에서 바로잡는다.</w:t>
      </w:r>
    </w:p>
    <w:p>
      <w:pPr>
        <w:keepNext/>
        <w:spacing w:before="140" w:after="40" w:line="300" w:lineRule="auto"/>
      </w:pPr>
      <w:r>
        <w:rPr>
          <w:rFonts w:ascii="Calibri" w:hAnsi="Calibri" w:eastAsia="맑은 고딕" w:cs="Calibri" w:hint="eastAsia"/>
          <w:b/>
          <w:bCs/>
          <w:color w:val="555555"/>
          <w:sz w:val="19"/>
          <w:szCs w:val="19"/>
        </w:rPr>
        <w:t xml:space="preserve">그림 2. 노출 구조: 발견(검색)과 확인(등재)의 직렬 관계</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검색으로 먼저 발견되고 그다음 등재로 확인되는 두 단계가 직렬로 이어진다. 발견 단계가 유통사에 넘어가 있으면 확인 단계에 이르기 전에 트래픽이 새어 나간다. 발견 지점을 자사 채널로 되돌리는 것이 관건이다.</w:t>
      </w:r>
    </w:p>
    <w:p>
      <w:pPr>
        <w:keepNext/>
        <w:spacing w:before="140" w:after="40" w:line="300" w:lineRule="auto"/>
      </w:pPr>
      <w:r>
        <w:rPr>
          <w:rFonts w:ascii="Calibri" w:hAnsi="Calibri" w:eastAsia="맑은 고딕" w:cs="Calibri" w:hint="eastAsia"/>
          <w:b/>
          <w:bCs/>
          <w:color w:val="555555"/>
          <w:sz w:val="19"/>
          <w:szCs w:val="19"/>
        </w:rPr>
        <w:t xml:space="preserve">표 11. 검색 회수를 위한 웹 정비</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현행 (전부 웹)</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조치</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자체 서명 인증서 → 보안 경고</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정상 SSL 교체</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개인 이메일 · 도메인 이메일 없음</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도메인 이메일 전환</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영문 표기 분열 (R&amp;D / RND / 가나알엔디)</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단일 영문 표기 → 검색 통합</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메타 · 미리보기 방치 · 모바일 미대응</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검색 색인 정비 · 반응형</w:t>
            </w:r>
          </w:p>
        </w:tc>
      </w:tr>
    </w:tbl>
    <w:p>
      <w:pPr>
        <w:spacing w:after="0" w:line="120" w:lineRule="auto"/>
      </w:pPr>
    </w:p>
    <w:p>
      <w:pPr>
        <w:spacing w:before="0" w:after="140" w:line="300" w:lineRule="auto"/>
        <w:jc w:val="both"/>
      </w:pPr>
      <w:r>
        <w:rPr>
          <w:rFonts w:ascii="Calibri" w:hAnsi="Calibri" w:eastAsia="맑은 고딕" w:cs="Calibri" w:hint="eastAsia"/>
          <w:color w:val="1A1A1A"/>
          <w:sz w:val="21"/>
          <w:szCs w:val="21"/>
        </w:rPr>
        <w:t xml:space="preserve">여기에 규제기관 도메인이 가진 검색 권위가 더해진다. 등록번호와 조회 링크를 사이트에 실으면 그 링크가 검색 상위에서 유통사 페이지를 밀어낸다. “수요 발굴 기능을 자사로 이전한다”는 방향을 실제로 실행하는 수단이 바로 웹이다.</w:t>
      </w:r>
    </w:p>
    <w:p>
      <w:pPr>
        <w:keepNext/>
        <w:spacing w:before="240" w:after="100" w:line="300" w:lineRule="auto"/>
      </w:pPr>
      <w:r>
        <w:rPr>
          <w:rFonts w:ascii="Calibri" w:hAnsi="Calibri" w:eastAsia="맑은 고딕" w:cs="Calibri" w:hint="eastAsia"/>
          <w:b/>
          <w:bCs/>
          <w:color w:val="0B1F3A"/>
          <w:sz w:val="24"/>
          <w:szCs w:val="24"/>
        </w:rPr>
        <w:t xml:space="preserve">8.3 제조 깊이 = 정보구조</w:t>
      </w:r>
    </w:p>
    <w:p>
      <w:pPr>
        <w:spacing w:before="0" w:after="140" w:line="300" w:lineRule="auto"/>
        <w:jc w:val="both"/>
      </w:pPr>
      <w:r>
        <w:rPr>
          <w:rFonts w:ascii="Calibri" w:hAnsi="Calibri" w:eastAsia="맑은 고딕" w:cs="Calibri" w:hint="eastAsia"/>
          <w:color w:val="1A1A1A"/>
          <w:sz w:val="21"/>
          <w:szCs w:val="21"/>
        </w:rPr>
        <w:t xml:space="preserve">“표면 → 조직 → 세포”의 제조 깊이는 발표를 위한 논리가 아니라 사이트의 정보구조(IA) 자체다. 6개 회사를 그냥 나열하면 뷔페처럼 보이지만, 제조 깊이를 축으로 삼으면 만드는 회사가 앞에 서고 전개하는 회사가 뒤따르는 하나의 흐름이 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이미 있는 자산.</w:t>
      </w:r>
      <w:r>
        <w:rPr>
          <w:rFonts w:ascii="Calibri" w:hAnsi="Calibri" w:eastAsia="맑은 고딕" w:cs="Calibri" w:hint="eastAsia"/>
          <w:color w:val="1A1A1A"/>
          <w:sz w:val="20"/>
          <w:szCs w:val="20"/>
        </w:rPr>
        <w:t xml:space="preserve"> gana-cosmetics.com은 6개 사이트 가운데 유일하게 제대로 작동한다. 디자인 체계, B2B 문의 구조, 4개 언어를 이미 갖췄다. 이 사이트를 그룹 표준으로 올리고 모회사 사이트를 그 위에 다시 짓는다. 리브랜딩의 디자인 원본은 밖에서 사올 것이 아니라 이미 우리 안에 있다.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9. 방향의 웹 실현</w:t>
      </w:r>
    </w:p>
    <w:p>
      <w:pPr>
        <w:spacing w:before="0" w:after="140" w:line="300" w:lineRule="auto"/>
        <w:jc w:val="both"/>
      </w:pPr>
      <w:r>
        <w:rPr>
          <w:rFonts w:ascii="Calibri" w:hAnsi="Calibri" w:eastAsia="맑은 고딕" w:cs="Calibri" w:hint="eastAsia"/>
          <w:color w:val="1A1A1A"/>
          <w:sz w:val="21"/>
          <w:szCs w:val="21"/>
        </w:rPr>
        <w:t xml:space="preserve">제1부에서 정의한 방향이 각각 사이트에서 어떤 요소로 구현되는지 대응시킨다.</w:t>
      </w:r>
    </w:p>
    <w:p>
      <w:pPr>
        <w:keepNext/>
        <w:spacing w:before="140" w:after="40" w:line="300" w:lineRule="auto"/>
      </w:pPr>
      <w:r>
        <w:rPr>
          <w:rFonts w:ascii="Calibri" w:hAnsi="Calibri" w:eastAsia="맑은 고딕" w:cs="Calibri" w:hint="eastAsia"/>
          <w:b/>
          <w:bCs/>
          <w:color w:val="555555"/>
          <w:sz w:val="19"/>
          <w:szCs w:val="19"/>
        </w:rPr>
        <w:t xml:space="preserve">표 12. 리브랜딩 방향의 웹 구현 대응</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리브랜딩 방향 (제1부)</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웹에서의 구현</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축 : 제조 주체 (제3장)</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홈 헤드라인 · About을 ‘설명’에서 ‘제조 실적 제시’로 재작성</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층별 시제, 완료형/진행형 (3.2)</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정보구조 3층: 표면·조직은 제품 등재 페이지(완료형), 세포는 ‘시설 건립 중’ 페이지(진행형)</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근거 38건 · 5관할 (제5장)</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인증·등재 자료실: 관할별 등록번호 + 조회 링크</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‘제조자로 기재’ 정확 표기 (5.1)</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제품 페이지 라벨을 ‘제조자 등재’로 통일. ‘우리 이름으로 등록’ 미사용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언어 체계 (제6장)</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카피 가이드를 전 페이지 문안에 적용 · 제한 표현 사전 반영</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규모 표현 (제7장)</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시설 페이지에 설계 용량 + 시제 명시. 동결 수치는 미게시</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안티에이징 배치 (3.1)</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화장품 사이트는 안티에이징 유지, 모회사는 제조 축</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계열사 순서 (제4장)</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네비게이션: 제조 법인 선행, 전개 법인 후행</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수요 발굴 이전 (2.3)</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도메인 이메일 · 단일 표기 · SSL · 메타 · 등재 링크로 검색 회수</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9.1 신설 : 인증·등재 자료실</w:t>
      </w:r>
    </w:p>
    <w:p>
      <w:pPr>
        <w:spacing w:before="0" w:after="140" w:line="300" w:lineRule="auto"/>
        <w:jc w:val="both"/>
      </w:pPr>
      <w:r>
        <w:rPr>
          <w:rFonts w:ascii="Calibri" w:hAnsi="Calibri" w:eastAsia="맑은 고딕" w:cs="Calibri" w:hint="eastAsia"/>
          <w:color w:val="1A1A1A"/>
          <w:sz w:val="21"/>
          <w:szCs w:val="21"/>
        </w:rPr>
        <w:t xml:space="preserve">제2부의 핵심 산출물이다. 관할별 등록번호와 조회 링크를 한곳에 모은 페이지로, 실사자·바이어·애널리스트가 가장 먼저 여는 곳이 된다. 새 축의 “보여달라”에 대한 답이 물리적으로 존재하는 지면이며, 등재 대장(부록 B)이 그대로 이 페이지의 원본이 된다.</w:t>
      </w:r>
    </w:p>
    <w:p>
      <w:pPr>
        <w:keepNext/>
        <w:spacing w:before="240" w:after="100" w:line="300" w:lineRule="auto"/>
      </w:pPr>
      <w:r>
        <w:rPr>
          <w:rFonts w:ascii="Calibri" w:hAnsi="Calibri" w:eastAsia="맑은 고딕" w:cs="Calibri" w:hint="eastAsia"/>
          <w:b/>
          <w:bCs/>
          <w:color w:val="0B1F3A"/>
          <w:sz w:val="24"/>
          <w:szCs w:val="24"/>
        </w:rPr>
        <w:t xml:space="preserve">9.2 즉시 웹 정비 (승인 불요 · 비용 0원)</w:t>
      </w:r>
    </w:p>
    <w:p>
      <w:pPr>
        <w:spacing w:before="0" w:after="140" w:line="300" w:lineRule="auto"/>
        <w:jc w:val="both"/>
      </w:pPr>
      <w:r>
        <w:rPr>
          <w:rFonts w:ascii="Calibri" w:hAnsi="Calibri" w:eastAsia="맑은 고딕" w:cs="Calibri" w:hint="eastAsia"/>
          <w:color w:val="1A1A1A"/>
          <w:sz w:val="21"/>
          <w:szCs w:val="21"/>
        </w:rPr>
        <w:t xml:space="preserve">모두 틀린 표기를 지우거나 만료된 것을 내리는 웹 작업이라, 축의 결정 여부와 무관하게 지금 진행할 수 있다.</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순번</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1</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보안 인증서 정상화 (브라우저 보안 경고 제거)</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2</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만료 인증 배지 내림 · 현행 GMP 인정서 게시</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3</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“Russia FDA” → 실제 등록번호 + 조회 링크</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4</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“FDA approved / Registered” 삭제 · “KFDA” → “MFDS”</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5</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도메인 이메일 전환 · 개인 이메일 노출 제거</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6</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단일 영문 표기 적용 · 소재지·우편번호 통일</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7</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메타 정보 · 모바일 대응</w:t>
            </w:r>
          </w:p>
        </w:tc>
      </w:tr>
    </w:tbl>
    <w:p>
      <w:pPr>
        <w:spacing w:after="0" w:line="120" w:lineRule="auto"/>
      </w:pPr>
    </w:p>
    <w:p>
      <w:r>
        <w:br w:type="page"/>
      </w:r>
    </w:p>
    <w:p>
      <w:pPr>
        <w:keepNext/>
        <w:spacing w:before="320" w:after="140" w:line="300" w:lineRule="auto"/>
      </w:pPr>
      <w:r>
        <w:rPr>
          <w:rFonts w:ascii="Calibri" w:hAnsi="Calibri" w:eastAsia="맑은 고딕" w:cs="Calibri" w:hint="eastAsia"/>
          <w:b/>
          <w:bCs/>
          <w:color w:val="0B1F3A"/>
          <w:sz w:val="30"/>
          <w:szCs w:val="30"/>
        </w:rPr>
        <w:t xml:space="preserve">10. 추진 일정</w:t>
      </w:r>
    </w:p>
    <w:p>
      <w:pPr>
        <w:spacing w:before="0" w:after="140" w:line="300" w:lineRule="auto"/>
        <w:jc w:val="both"/>
      </w:pPr>
      <w:r>
        <w:rPr>
          <w:rFonts w:ascii="Calibri" w:hAnsi="Calibri" w:eastAsia="맑은 고딕" w:cs="Calibri" w:hint="eastAsia"/>
          <w:color w:val="1A1A1A"/>
          <w:sz w:val="21"/>
          <w:szCs w:val="21"/>
        </w:rPr>
        <w:t xml:space="preserve">추진 원칙은 ‘정비 후 노출’이다. 정비가 끝나기 전에 노출을 늘리면 오히려 역효과가 난다.</w:t>
      </w:r>
    </w:p>
    <w:p>
      <w:pPr>
        <w:keepNext/>
        <w:spacing w:before="140" w:after="40" w:line="300" w:lineRule="auto"/>
      </w:pPr>
      <w:r>
        <w:rPr>
          <w:rFonts w:ascii="Calibri" w:hAnsi="Calibri" w:eastAsia="맑은 고딕" w:cs="Calibri" w:hint="eastAsia"/>
          <w:b/>
          <w:bCs/>
          <w:color w:val="555555"/>
          <w:sz w:val="19"/>
          <w:szCs w:val="19"/>
        </w:rPr>
        <w:t xml:space="preserve">그림 3. 추진 일정: 정비 완료 후 노출 단계로 이행</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P0부터 P4까지 단계가 순차로 이어진다. 정비를 마친 뒤에야 외부 노출을 확대하는 순서로 배열되어, 준비되지 않은 상태에서 트래픽이 몰리는 상황을 막는다.</w:t>
      </w:r>
    </w:p>
    <w:p>
      <w:pPr>
        <w:keepNext/>
        <w:spacing w:before="140" w:after="40" w:line="300" w:lineRule="auto"/>
      </w:pPr>
      <w:r>
        <w:rPr>
          <w:rFonts w:ascii="Calibri" w:hAnsi="Calibri" w:eastAsia="맑은 고딕" w:cs="Calibri" w:hint="eastAsia"/>
          <w:b/>
          <w:bCs/>
          <w:color w:val="555555"/>
          <w:sz w:val="19"/>
          <w:szCs w:val="19"/>
        </w:rPr>
        <w:t xml:space="preserve">표 13. 단계별 추진 내용</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단계</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기간</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추진 내용</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P0</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1주</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즉시 웹 정비 (제9.2절 전 항목). 보안 인증서 · 도메인 이메일 · 만료 배지 · “Russia FDA” → 등록번호 · 현행 GMP 게시</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P1</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2~4주</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브랜드 축 확정 · 슬로건 · 카피 가이드 성문화 · 디자인 표준 승격(화장품 체계) · 표기 사전</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P2</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4~8주</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모회사 사이트 전면 재구축 · 인증·등재 자료실 · 정보구조 3층 재편 · 6개 언어 / (병행) 화장품 사이트 정비</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P3</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3~5주</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Dr.Park CDMO 사이트 개편 (수치 확정 후 착수)</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P4</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이후</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계열사 연결 정비 · 제3자 채널(학회 · 산업 보고서) 착수</w:t>
            </w:r>
          </w:p>
        </w:tc>
      </w:tr>
    </w:tbl>
    <w:p>
      <w:pPr>
        <w:spacing w:after="0" w:line="120" w:lineRule="auto"/>
      </w:pPr>
    </w:p>
    <w:p>
      <w:r>
        <w:br w:type="page"/>
      </w:r>
    </w:p>
    <w:p>
      <w:pPr>
        <w:keepNext/>
        <w:spacing w:before="320" w:after="140" w:line="300" w:lineRule="auto"/>
      </w:pPr>
      <w:r>
        <w:rPr>
          <w:rFonts w:ascii="Calibri" w:hAnsi="Calibri" w:eastAsia="맑은 고딕" w:cs="Calibri" w:hint="eastAsia"/>
          <w:b/>
          <w:bCs/>
          <w:color w:val="0B1F3A"/>
          <w:sz w:val="30"/>
          <w:szCs w:val="30"/>
        </w:rPr>
        <w:t xml:space="preserve">11. 선결 항목과 경계</w:t>
      </w:r>
    </w:p>
    <w:p>
      <w:pPr>
        <w:spacing w:before="0" w:after="140" w:line="300" w:lineRule="auto"/>
        <w:jc w:val="both"/>
      </w:pPr>
      <w:r>
        <w:rPr>
          <w:rFonts w:ascii="Calibri" w:hAnsi="Calibri" w:eastAsia="맑은 고딕" w:cs="Calibri" w:hint="eastAsia"/>
          <w:color w:val="1A1A1A"/>
          <w:sz w:val="21"/>
          <w:szCs w:val="21"/>
        </w:rPr>
        <w:t xml:space="preserve">웹 실행에 앞서 확정되어야 하는 항목과, 웹 범위 밖이라 본 기획서에서 다루지 않는 항목을 구분한다.</w:t>
      </w:r>
    </w:p>
    <w:p>
      <w:pPr>
        <w:keepNext/>
        <w:spacing w:before="240" w:after="100" w:line="300" w:lineRule="auto"/>
      </w:pPr>
      <w:r>
        <w:rPr>
          <w:rFonts w:ascii="Calibri" w:hAnsi="Calibri" w:eastAsia="맑은 고딕" w:cs="Calibri" w:hint="eastAsia"/>
          <w:b/>
          <w:bCs/>
          <w:color w:val="0B1F3A"/>
          <w:sz w:val="24"/>
          <w:szCs w:val="24"/>
        </w:rPr>
        <w:t xml:space="preserve">11.1 웹 반영 전 확정 (사이트에 올리기 전)</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처리</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배치 용량 수치 (5,000 / 6,000 / 200,000L)</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확정 전까지 사이트 미게시(동결). 나머지 웹 작업은 병렬 진행</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제품 공식 영문 표기</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표기 사전 확정 후 전 페이지 일괄 적용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계열사 범위 · 순서</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확정 후 네비게이션 반영. 확정 전 계열사 수 미표기</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위탁제조 브랜드 인용</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타사 브랜드 제품(영국 Class III 등)의 대외 인용 가부는 계약이 정한다. 확인 후 게시</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11.2 웹이 아닌 것, 본 기획서 범위 밖</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b/>
          <w:bCs/>
          <w:color w:val="1A1A1A"/>
          <w:sz w:val="20"/>
          <w:szCs w:val="20"/>
        </w:rPr>
        <w:t xml:space="preserve">원칙.</w:t>
      </w:r>
      <w:r>
        <w:rPr>
          <w:rFonts w:ascii="Calibri" w:hAnsi="Calibri" w:eastAsia="맑은 고딕" w:cs="Calibri" w:hint="eastAsia"/>
          <w:color w:val="1A1A1A"/>
          <w:sz w:val="20"/>
          <w:szCs w:val="20"/>
        </w:rPr>
        <w:t xml:space="preserve"> 미확정·미확인 항목은 사이트에 올리지 않는다. 웹에는 확인된 것만 싣는다. 이 원칙 자체가 축(“검증 가능한 것만 말한다”)과 맞닿아 있다. 조사 과정에서 법인·자산 관계, 규제 등재의 만료·갱신처럼 웹 스코프 밖의 항목도 함께 관찰됐다. 이런 항목은 규제·법무·경영 부문의 소관이라 본 기획서에서 다루지 않고, 웹 작업과 분리해 해당 부문에 전달한다.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12. 승인 요청 사항</w:t>
      </w:r>
    </w:p>
    <w:p>
      <w:pPr>
        <w:spacing w:before="0" w:after="140" w:line="300" w:lineRule="auto"/>
        <w:jc w:val="both"/>
      </w:pPr>
      <w:r>
        <w:rPr>
          <w:rFonts w:ascii="Calibri" w:hAnsi="Calibri" w:eastAsia="맑은 고딕" w:cs="Calibri" w:hint="eastAsia"/>
          <w:color w:val="1A1A1A"/>
          <w:sz w:val="21"/>
          <w:szCs w:val="21"/>
        </w:rPr>
        <w:t xml:space="preserve">웹 스코프에 한정한 요청이다.</w:t>
      </w:r>
    </w:p>
    <w:p>
      <w:pPr>
        <w:keepNext/>
        <w:spacing w:before="240" w:after="100" w:line="300" w:lineRule="auto"/>
      </w:pPr>
      <w:r>
        <w:rPr>
          <w:rFonts w:ascii="Calibri" w:hAnsi="Calibri" w:eastAsia="맑은 고딕" w:cs="Calibri" w:hint="eastAsia"/>
          <w:b/>
          <w:bCs/>
          <w:color w:val="0B1F3A"/>
          <w:sz w:val="24"/>
          <w:szCs w:val="24"/>
        </w:rPr>
        <w:t xml:space="preserve">요청 1  |  즉시 웹 정비 착수 (승인 불요 · 비용 0원)</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제9.2절의 7개 항목이다. 모두 틀린 표기를 지우거나 만료된 것을 내리는 작업이므로, 축의 결정 여부와 관계없이 곧바로 착수한다.</w:t>
      </w:r>
    </w:p>
    <w:p>
      <w:pPr>
        <w:keepNext/>
        <w:spacing w:before="240" w:after="100" w:line="300" w:lineRule="auto"/>
      </w:pPr>
      <w:r>
        <w:rPr>
          <w:rFonts w:ascii="Calibri" w:hAnsi="Calibri" w:eastAsia="맑은 고딕" w:cs="Calibri" w:hint="eastAsia"/>
          <w:b/>
          <w:bCs/>
          <w:color w:val="0B1F3A"/>
          <w:sz w:val="24"/>
          <w:szCs w:val="24"/>
        </w:rPr>
        <w:t xml:space="preserve">요청 2  |  대외 문구 정렬 (유지 + 증명)</w:t>
      </w:r>
    </w:p>
    <w:p>
      <w:pPr>
        <w:spacing w:before="0" w:after="140" w:line="300" w:lineRule="auto"/>
        <w:jc w:val="both"/>
      </w:pPr>
      <w:r>
        <w:rPr>
          <w:rFonts w:ascii="Calibri" w:hAnsi="Calibri" w:eastAsia="맑은 고딕" w:cs="Calibri" w:hint="eastAsia"/>
          <w:color w:val="1A1A1A"/>
          <w:sz w:val="21"/>
          <w:szCs w:val="21"/>
        </w:rPr>
        <w:t xml:space="preserve">슬로건 · 홈 헤드라인 · 정보구조에 제조 주체(증명) 축을 더한다. 기존 포지셔닝은 유지하되 방어 가능한 형태로 재작성한다.</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내용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‘세계 최대급’</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유지. 자사 영상 문구 “one of the world’s largest … AAV production capacities” 형태 + 측정 축 명시 (제7장)</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안티에이징</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유지. 목적 계층 및 화장품 부문 대외 문구로 존속</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적용 규칙</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제1·2층은 완료형, 제3층은 진행형. 양 끝단을 하나의 주어로 잇지 않는다</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운영 규칙</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배치 용량 수치는 확정 전까지 사이트에 게시하지 않는다</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요청 3  |  화장품 디자인 체계를 그룹 표준으로 승격</w:t>
      </w:r>
    </w:p>
    <w:p>
      <w:pPr>
        <w:spacing w:before="0" w:after="140" w:line="300" w:lineRule="auto"/>
        <w:jc w:val="both"/>
      </w:pPr>
      <w:r>
        <w:rPr>
          <w:rFonts w:ascii="Calibri" w:hAnsi="Calibri" w:eastAsia="맑은 고딕" w:cs="Calibri" w:hint="eastAsia"/>
          <w:color w:val="1A1A1A"/>
          <w:sz w:val="21"/>
          <w:szCs w:val="21"/>
        </w:rPr>
        <w:t xml:space="preserve">gana-cosmetics.com의 디자인 체계 · 다국어 구조를 그룹 표준으로 삼고, 모회사 사이트를 이 위에 재구축한다.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계열사 소개 기준은 ‘노화 개입 레벨’에서 ‘제조 깊이’로 바꾼다. 계열사 범위와 순서가 확정된 다음에 네비게이션에 반영한다.</w:t>
      </w:r>
    </w:p>
    <w:p>
      <w:pPr>
        <w:keepNext/>
        <w:spacing w:before="240" w:after="100" w:line="300" w:lineRule="auto"/>
      </w:pPr>
      <w:r>
        <w:rPr>
          <w:rFonts w:ascii="Calibri" w:hAnsi="Calibri" w:eastAsia="맑은 고딕" w:cs="Calibri" w:hint="eastAsia"/>
          <w:b/>
          <w:bCs/>
          <w:color w:val="0B1F3A"/>
          <w:sz w:val="24"/>
          <w:szCs w:val="24"/>
        </w:rPr>
        <w:t xml:space="preserve">요청 4  |  대외 문구 검토 절차</w:t>
      </w:r>
    </w:p>
    <w:p>
      <w:pPr>
        <w:spacing w:before="0" w:after="140" w:line="300" w:lineRule="auto"/>
        <w:jc w:val="both"/>
      </w:pPr>
      <w:r>
        <w:rPr>
          <w:rFonts w:ascii="Calibri" w:hAnsi="Calibri" w:eastAsia="맑은 고딕" w:cs="Calibri" w:hint="eastAsia"/>
          <w:color w:val="1A1A1A"/>
          <w:sz w:val="21"/>
          <w:szCs w:val="21"/>
        </w:rPr>
        <w:t xml:space="preserve">사이트에 게시되는 대외 규제 관련 문구는 담당 부문(규제·법무)의 확인을 거친 것만 반영한다. 마케팅·웹은 초안을 작성한다.</w:t>
      </w: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폐기되는 자산은 없다. 웹에서 우리를 설명하기를 멈추고, 이제 번호를 건네기 시작한다.</w:t>
      </w:r>
    </w:p>
    <w:p>
      <w:r>
        <w:br w:type="page"/>
      </w:r>
    </w:p>
    <w:p>
      <w:pPr>
        <w:keepNext/>
        <w:spacing w:before="320" w:after="140" w:line="300" w:lineRule="auto"/>
      </w:pPr>
      <w:r>
        <w:rPr>
          <w:rFonts w:ascii="Calibri" w:hAnsi="Calibri" w:eastAsia="맑은 고딕" w:cs="Calibri" w:hint="eastAsia"/>
          <w:b/>
          <w:bCs/>
          <w:color w:val="0B1F3A"/>
          <w:sz w:val="30"/>
          <w:szCs w:val="30"/>
        </w:rPr>
        <w:t xml:space="preserve">부록 A. 조사 방법 및 신뢰도 체계</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4819"/>
        <w:gridCol w:w="4819"/>
      </w:tblGrid>
      <w:tr>
        <w:trPr>
          <w:tblHeader/>
        </w:trPr>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c>
          <w:tcPr>
            <w:tcW w:w="4819"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내용</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조사일</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2026년 7월 22일</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조사 범위</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그룹 법인의 공개 레지스트리 등재 현황, 경쟁사 생산 용량, 미확인 항목 검증</w:t>
            </w:r>
          </w:p>
        </w:tc>
      </w:tr>
      <w:tr>
        <w:tc>
          <w:tcPr>
            <w:tcW w:w="4819" w:type="dxa"/>
            <w:vAlign w:val="center"/>
          </w:tcPr>
          <w:p>
            <w:pPr>
              <w:spacing w:before="20" w:after="20" w:line="264" w:lineRule="auto"/>
            </w:pPr>
            <w:r>
              <w:rPr>
                <w:rFonts w:ascii="Calibri" w:hAnsi="Calibri" w:eastAsia="맑은 고딕" w:cs="Calibri" w:hint="eastAsia"/>
                <w:b/>
                <w:bCs/>
                <w:color w:val="0B1F3A"/>
                <w:sz w:val="19"/>
                <w:szCs w:val="19"/>
              </w:rPr>
              <w:t xml:space="preserve">조사 방법</w:t>
            </w:r>
          </w:p>
        </w:tc>
        <w:tc>
          <w:tcPr>
            <w:tcW w:w="4819" w:type="dxa"/>
            <w:vAlign w:val="center"/>
          </w:tcPr>
          <w:p>
            <w:pPr>
              <w:spacing w:before="20" w:after="20" w:line="264" w:lineRule="auto"/>
            </w:pPr>
            <w:r>
              <w:rPr>
                <w:rFonts w:ascii="Calibri" w:hAnsi="Calibri" w:eastAsia="맑은 고딕" w:cs="Calibri" w:hint="eastAsia"/>
                <w:color w:val="1A1A1A"/>
                <w:sz w:val="19"/>
                <w:szCs w:val="19"/>
              </w:rPr>
              <w:t xml:space="preserve">규제기관 공개 데이터베이스 직접 조회, 공식 웹사이트 원문 열람, 통신사 배포 원문 대조</w:t>
            </w:r>
          </w:p>
        </w:tc>
      </w:tr>
      <w:tr>
        <w:tc>
          <w:tcPr>
            <w:tcW w:w="4819"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조사 원칙</w:t>
            </w:r>
          </w:p>
        </w:tc>
        <w:tc>
          <w:tcPr>
            <w:tcW w:w="4819"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추정 배제, 긍정 결과에 공개 조회 경로 첨부, 부정 결과의 검색어 및 일자 기록, 동일 명칭 타사 배제</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A.1 신뢰도 표기 체계</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표기</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정의</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대외 사용</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확인</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공개 1차 출처 또는 레지스트리 직접 조회</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사용 가능</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자사 주장</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자사 문구만 존재하며 제3자 검증 없음</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완화 후 제한적 사용</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미확인</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조사하였으나 확인하지 못함 (등재 부재와 구분됨)</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사용 금지</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A.2 주요 출처</w:t>
      </w:r>
    </w:p>
    <w:p>
      <w:pPr>
        <w:spacing w:before="0" w:after="140" w:line="300" w:lineRule="auto"/>
        <w:jc w:val="both"/>
      </w:pPr>
      <w:r>
        <w:rPr>
          <w:rFonts w:ascii="Calibri" w:hAnsi="Calibri" w:eastAsia="맑은 고딕" w:cs="Calibri" w:hint="eastAsia"/>
          <w:color w:val="1A1A1A"/>
          <w:sz w:val="21"/>
          <w:szCs w:val="21"/>
        </w:rPr>
        <w:t xml:space="preserve">러시아 연방보건감독청(Roszdravnadzor) 의료기기 등록 공개 데이터베이스</w:t>
      </w:r>
    </w:p>
    <w:p>
      <w:pPr>
        <w:spacing w:before="0" w:after="140" w:line="300" w:lineRule="auto"/>
        <w:jc w:val="both"/>
      </w:pPr>
      <w:r>
        <w:rPr>
          <w:rFonts w:ascii="Calibri" w:hAnsi="Calibri" w:eastAsia="맑은 고딕" w:cs="Calibri" w:hint="eastAsia"/>
          <w:color w:val="1A1A1A"/>
          <w:sz w:val="21"/>
          <w:szCs w:val="21"/>
        </w:rPr>
        <w:t xml:space="preserve">한국 식품의약품안전처(MFDS) 의료기기 전자민원창구: 업 허가·GMP 적합인정·품목허가</w:t>
      </w:r>
    </w:p>
    <w:p>
      <w:pPr>
        <w:spacing w:before="0" w:after="140" w:line="300" w:lineRule="auto"/>
        <w:jc w:val="both"/>
      </w:pPr>
      <w:r>
        <w:rPr>
          <w:rFonts w:ascii="Calibri" w:hAnsi="Calibri" w:eastAsia="맑은 고딕" w:cs="Calibri" w:hint="eastAsia"/>
          <w:color w:val="1A1A1A"/>
          <w:sz w:val="21"/>
          <w:szCs w:val="21"/>
        </w:rPr>
        <w:t xml:space="preserve">영국 MHRA 공개 등록부 · EU EUDAMED · 브라질 ANVISA</w:t>
      </w:r>
    </w:p>
    <w:p>
      <w:pPr>
        <w:spacing w:before="0" w:after="140" w:line="300" w:lineRule="auto"/>
        <w:jc w:val="both"/>
      </w:pPr>
      <w:r>
        <w:rPr>
          <w:rFonts w:ascii="Calibri" w:hAnsi="Calibri" w:eastAsia="맑은 고딕" w:cs="Calibri" w:hint="eastAsia"/>
          <w:color w:val="1A1A1A"/>
          <w:sz w:val="21"/>
          <w:szCs w:val="21"/>
        </w:rPr>
        <w:t xml:space="preserve">영국 Companies House: 계열 법인 등기 정보</w:t>
      </w:r>
    </w:p>
    <w:p>
      <w:pPr>
        <w:spacing w:before="0" w:after="140" w:line="300" w:lineRule="auto"/>
        <w:jc w:val="both"/>
      </w:pPr>
      <w:r>
        <w:rPr>
          <w:rFonts w:ascii="Calibri" w:hAnsi="Calibri" w:eastAsia="맑은 고딕" w:cs="Calibri" w:hint="eastAsia"/>
          <w:color w:val="1A1A1A"/>
          <w:sz w:val="21"/>
          <w:szCs w:val="21"/>
        </w:rPr>
        <w:t xml:space="preserve">미국 FDA Establishment Registration &amp; Device Listing 및 openFDA</w:t>
      </w:r>
    </w:p>
    <w:p>
      <w:pPr>
        <w:spacing w:before="0" w:after="140" w:line="300" w:lineRule="auto"/>
        <w:jc w:val="both"/>
      </w:pPr>
      <w:r>
        <w:rPr>
          <w:rFonts w:ascii="Calibri" w:hAnsi="Calibri" w:eastAsia="맑은 고딕" w:cs="Calibri" w:hint="eastAsia"/>
          <w:color w:val="1A1A1A"/>
          <w:sz w:val="21"/>
          <w:szCs w:val="21"/>
        </w:rPr>
        <w:t xml:space="preserve">경쟁사 공식 웹사이트 및 보도자료: Viralgen, Forge Biologics, Minaris, Catalent, Charles River, AGC Biologics</w:t>
      </w:r>
    </w:p>
    <w:p>
      <w:pPr>
        <w:spacing w:before="0" w:after="140" w:line="300" w:lineRule="auto"/>
        <w:jc w:val="both"/>
      </w:pPr>
      <w:r>
        <w:rPr>
          <w:rFonts w:ascii="Calibri" w:hAnsi="Calibri" w:eastAsia="맑은 고딕" w:cs="Calibri" w:hint="eastAsia"/>
          <w:color w:val="1A1A1A"/>
          <w:sz w:val="21"/>
          <w:szCs w:val="21"/>
        </w:rPr>
        <w:t xml:space="preserve">통신사 배포 원문 및 재유통 매체 15건 대조</w:t>
      </w:r>
    </w:p>
    <w:p>
      <w:pPr>
        <w:keepNext/>
        <w:spacing w:before="320" w:after="140" w:line="300" w:lineRule="auto"/>
      </w:pPr>
      <w:r>
        <w:rPr>
          <w:rFonts w:ascii="Calibri" w:hAnsi="Calibri" w:eastAsia="맑은 고딕" w:cs="Calibri" w:hint="eastAsia"/>
          <w:b/>
          <w:bCs/>
          <w:color w:val="0B1F3A"/>
          <w:sz w:val="30"/>
          <w:szCs w:val="30"/>
        </w:rPr>
        <w:t xml:space="preserve">부록 B. 등재 대장</w:t>
      </w:r>
    </w:p>
    <w:p>
      <w:pPr>
        <w:keepNext/>
        <w:spacing w:before="240" w:after="100" w:line="300" w:lineRule="auto"/>
      </w:pPr>
      <w:r>
        <w:rPr>
          <w:rFonts w:ascii="Calibri" w:hAnsi="Calibri" w:eastAsia="맑은 고딕" w:cs="Calibri" w:hint="eastAsia"/>
          <w:b/>
          <w:bCs/>
          <w:color w:val="0B1F3A"/>
          <w:sz w:val="24"/>
          <w:szCs w:val="24"/>
        </w:rPr>
        <w:t xml:space="preserve">B.1 러시아 연방보건감독청 (2026. 7. 22. 기준)</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1928"/>
        <w:gridCol w:w="1928"/>
        <w:gridCol w:w="1928"/>
        <w:gridCol w:w="1928"/>
        <w:gridCol w:w="1928"/>
      </w:tblGrid>
      <w:tr>
        <w:trPr>
          <w:tblHeader/>
        </w:trPr>
        <w:tc>
          <w:tcPr>
            <w:tcW w:w="1928"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순번</w:t>
            </w:r>
          </w:p>
        </w:tc>
        <w:tc>
          <w:tcPr>
            <w:tcW w:w="1928"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등록번호</w:t>
            </w:r>
          </w:p>
        </w:tc>
        <w:tc>
          <w:tcPr>
            <w:tcW w:w="1928"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품목</w:t>
            </w:r>
          </w:p>
        </w:tc>
        <w:tc>
          <w:tcPr>
            <w:tcW w:w="1928"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등록일</w:t>
            </w:r>
          </w:p>
        </w:tc>
        <w:tc>
          <w:tcPr>
            <w:tcW w:w="1928"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층</w:t>
            </w:r>
          </w:p>
        </w:tc>
      </w:tr>
      <w:tr>
        <w:tc>
          <w:tcPr>
            <w:tcW w:w="1928" w:type="dxa"/>
            <w:vAlign w:val="center"/>
          </w:tcPr>
          <w:p>
            <w:pPr>
              <w:spacing w:before="20" w:after="20" w:line="264" w:lineRule="auto"/>
            </w:pPr>
            <w:r>
              <w:rPr>
                <w:rFonts w:ascii="Calibri" w:hAnsi="Calibri" w:eastAsia="맑은 고딕" w:cs="Calibri" w:hint="eastAsia"/>
                <w:b/>
                <w:bCs/>
                <w:color w:val="0B1F3A"/>
                <w:sz w:val="19"/>
                <w:szCs w:val="19"/>
              </w:rPr>
              <w:t xml:space="preserve">1</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РЗН 2021/14277</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GANA HA (A/B/C), 히알루론산</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2021-05-07</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1</w:t>
            </w:r>
          </w:p>
        </w:tc>
      </w:tr>
      <w:tr>
        <w:tc>
          <w:tcPr>
            <w:tcW w:w="1928"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2</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РЗН 2021/13973</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GANA X / V, PLLA</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2021-04-08</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1</w:t>
            </w:r>
          </w:p>
        </w:tc>
      </w:tr>
      <w:tr>
        <w:tc>
          <w:tcPr>
            <w:tcW w:w="1928" w:type="dxa"/>
            <w:vAlign w:val="center"/>
          </w:tcPr>
          <w:p>
            <w:pPr>
              <w:spacing w:before="20" w:after="20" w:line="264" w:lineRule="auto"/>
            </w:pPr>
            <w:r>
              <w:rPr>
                <w:rFonts w:ascii="Calibri" w:hAnsi="Calibri" w:eastAsia="맑은 고딕" w:cs="Calibri" w:hint="eastAsia"/>
                <w:b/>
                <w:bCs/>
                <w:color w:val="0B1F3A"/>
                <w:sz w:val="19"/>
                <w:szCs w:val="19"/>
              </w:rPr>
              <w:t xml:space="preserve">3</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РЗН 2022/18121</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GANA HA Body</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2022-08-29</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1</w:t>
            </w:r>
          </w:p>
        </w:tc>
      </w:tr>
      <w:tr>
        <w:tc>
          <w:tcPr>
            <w:tcW w:w="1928"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4</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РЗН 2024/22431</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GANA PATCH, 하이드로겔 창상피복재</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2024-04-18</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w:t>
            </w:r>
          </w:p>
        </w:tc>
      </w:tr>
      <w:tr>
        <w:tc>
          <w:tcPr>
            <w:tcW w:w="1928" w:type="dxa"/>
            <w:vAlign w:val="center"/>
          </w:tcPr>
          <w:p>
            <w:pPr>
              <w:spacing w:before="20" w:after="20" w:line="264" w:lineRule="auto"/>
            </w:pPr>
            <w:r>
              <w:rPr>
                <w:rFonts w:ascii="Calibri" w:hAnsi="Calibri" w:eastAsia="맑은 고딕" w:cs="Calibri" w:hint="eastAsia"/>
                <w:b/>
                <w:bCs/>
                <w:color w:val="0B1F3A"/>
                <w:sz w:val="19"/>
                <w:szCs w:val="19"/>
              </w:rPr>
              <w:t xml:space="preserve">5</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РЗН 2024/22440</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GANA BOOSTER, HA</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2024-04-23</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1</w:t>
            </w:r>
          </w:p>
        </w:tc>
      </w:tr>
      <w:tr>
        <w:tc>
          <w:tcPr>
            <w:tcW w:w="1928"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6</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РЗН 2024/22794</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GANA PH, PLLA + HA</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2024-05-30</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1</w:t>
            </w:r>
          </w:p>
        </w:tc>
      </w:tr>
      <w:tr>
        <w:tc>
          <w:tcPr>
            <w:tcW w:w="1928" w:type="dxa"/>
            <w:vAlign w:val="center"/>
          </w:tcPr>
          <w:p>
            <w:pPr>
              <w:spacing w:before="20" w:after="20" w:line="264" w:lineRule="auto"/>
            </w:pPr>
            <w:r>
              <w:rPr>
                <w:rFonts w:ascii="Calibri" w:hAnsi="Calibri" w:eastAsia="맑은 고딕" w:cs="Calibri" w:hint="eastAsia"/>
                <w:b/>
                <w:bCs/>
                <w:color w:val="0B1F3A"/>
                <w:sz w:val="19"/>
                <w:szCs w:val="19"/>
              </w:rPr>
              <w:t xml:space="preserve">7</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РЗН 2025/26343</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GANA Filler X, PCL + HA</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2025-11-19</w:t>
            </w:r>
          </w:p>
        </w:tc>
        <w:tc>
          <w:tcPr>
            <w:tcW w:w="1928" w:type="dxa"/>
            <w:vAlign w:val="center"/>
          </w:tcPr>
          <w:p>
            <w:pPr>
              <w:spacing w:before="20" w:after="20" w:line="264" w:lineRule="auto"/>
            </w:pPr>
            <w:r>
              <w:rPr>
                <w:rFonts w:ascii="Calibri" w:hAnsi="Calibri" w:eastAsia="맑은 고딕" w:cs="Calibri" w:hint="eastAsia"/>
                <w:color w:val="1A1A1A"/>
                <w:sz w:val="19"/>
                <w:szCs w:val="19"/>
              </w:rPr>
              <w:t xml:space="preserve">1</w:t>
            </w:r>
          </w:p>
        </w:tc>
      </w:tr>
      <w:tr>
        <w:tc>
          <w:tcPr>
            <w:tcW w:w="1928"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8</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РЗН 2025/26344</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GANA CH, 칼슘 + HA</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2025-11-19</w:t>
            </w:r>
          </w:p>
        </w:tc>
        <w:tc>
          <w:tcPr>
            <w:tcW w:w="1928"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1</w:t>
            </w:r>
          </w:p>
        </w:tc>
      </w:tr>
    </w:tbl>
    <w:p>
      <w:pPr>
        <w:spacing w:after="0" w:line="120" w:lineRule="auto"/>
      </w:pP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 제조사란은 8건 전부 GANA R&amp;D로 일치한다. 등록 명의인은 현지 대리인이므로 “우리 이름으로 등록”이라는 표현은 사용하지 않는다.</w:t>
      </w:r>
    </w:p>
    <w:p>
      <w:pPr>
        <w:keepNext/>
        <w:spacing w:before="240" w:after="100" w:line="300" w:lineRule="auto"/>
      </w:pPr>
      <w:r>
        <w:rPr>
          <w:rFonts w:ascii="Calibri" w:hAnsi="Calibri" w:eastAsia="맑은 고딕" w:cs="Calibri" w:hint="eastAsia"/>
          <w:b/>
          <w:bCs/>
          <w:color w:val="0B1F3A"/>
          <w:sz w:val="24"/>
          <w:szCs w:val="24"/>
        </w:rPr>
        <w:t xml:space="preserve">B.2 기타 관할</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관할</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식별자</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내용</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영국 MHRA</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제조자 등재 / 기기 1건</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Class III · UK 책임자 지정. 브랜드는 위탁처 소유이므로 브랜드명 공개 인용은 계약 확인 후 가능</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EU EUDAMED</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KR-MF-000037221</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제조자 등록 활성</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브라질 ANVISA</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2건 · 위험등급 IV</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등록보유자는 현지 법인, 제조사란이 자사</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한국 MFDS</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품목허가 27건</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26건이 수출용에 한함. 국내용 1건 (제인20-4997)</w:t>
            </w:r>
          </w:p>
        </w:tc>
      </w:tr>
    </w:tbl>
    <w:p>
      <w:pPr>
        <w:spacing w:after="0" w:line="120" w:lineRule="auto"/>
      </w:pPr>
    </w:p>
    <w:p>
      <w:pPr>
        <w:keepNext/>
        <w:spacing w:before="240" w:after="100" w:line="300" w:lineRule="auto"/>
      </w:pPr>
      <w:r>
        <w:rPr>
          <w:rFonts w:ascii="Calibri" w:hAnsi="Calibri" w:eastAsia="맑은 고딕" w:cs="Calibri" w:hint="eastAsia"/>
          <w:b/>
          <w:bCs/>
          <w:color w:val="0B1F3A"/>
          <w:sz w:val="24"/>
          <w:szCs w:val="24"/>
        </w:rPr>
        <w:t xml:space="preserve">B.3 제조자 자격 등재</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번호</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상태</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MFDS 제조업 허가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제4490호</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정상 (2014. 3. 5.)</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MFDS GMP 적합인정</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KCL-ABBA-19926</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~2027. 3. 3. 유효</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MHRA 제조자 등재</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MAN_ID 32678</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최종갱신 2026. 4. 11.</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EUDAMED Actor</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KR-MF-000037221</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Manufacturer / active</w:t>
            </w:r>
          </w:p>
        </w:tc>
      </w:tr>
    </w:tbl>
    <w:p>
      <w:pPr>
        <w:spacing w:after="0" w:line="120" w:lineRule="auto"/>
      </w:pPr>
    </w:p>
    <w:p>
      <w:pPr>
        <w:keepNext/>
        <w:spacing w:before="320" w:after="140" w:line="300" w:lineRule="auto"/>
      </w:pPr>
      <w:r>
        <w:rPr>
          <w:rFonts w:ascii="Calibri" w:hAnsi="Calibri" w:eastAsia="맑은 고딕" w:cs="Calibri" w:hint="eastAsia"/>
          <w:b/>
          <w:bCs/>
          <w:color w:val="0B1F3A"/>
          <w:sz w:val="30"/>
          <w:szCs w:val="30"/>
        </w:rPr>
        <w:t xml:space="preserve">부록 C. 인증 검증 상세</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항목</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결과</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내용</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러시아 Roszdravnadzor</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확인 (8건)</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공개 데이터베이스 직접 조회. 제조사명·소재지 일치</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MFDS GMP 적합인정</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유효</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KCL-ABBA-19926 (~2027. 3. 3.). 현행본이 존재하나 사이트는 만료본을 게시 중</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MFDS 품목허가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확인 (27건)</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26건이 수출용에 한함. 국내 판매 승인으로 오인될 수 있어 범위 명시 필요</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영국 MHRA</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확인</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제조자 등재 · Class III 기기 1건</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EU EUDAMED</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확인</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제조자 SRN 활성</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브라질 ANVISA</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확인 (2건)</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등록보유자는 현지 법인, 제조사란이 자사</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EU CE 인증서</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기한 만료</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2024. 5. 27. 만료. 사이트의 만료 배지는 내린다.</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미국 FDA 의료기기</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미등록</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동일 건물 소재 타사는 정상 등재되나 자사 검색 결과 없음</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FDA Registered (화장품)</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범위 상이</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자발적 등록 제도이며 승인이 아니다. 전사 표기 불가</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ISO 13485 / 22716</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미확인</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국제 인증 검색에서 미발견. 원본 및 발급기관 확인 필요</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EU CPNP</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검증 불가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제도상 비공개. 자사 귀책 사항이 아님</w:t>
            </w:r>
          </w:p>
        </w:tc>
      </w:tr>
    </w:tbl>
    <w:p>
      <w:pPr>
        <w:spacing w:after="0" w:line="120" w:lineRule="auto"/>
      </w:pPr>
    </w:p>
    <w:p>
      <w:pPr>
        <w:keepNext/>
        <w:spacing w:before="320" w:after="140" w:line="300" w:lineRule="auto"/>
      </w:pPr>
      <w:r>
        <w:rPr>
          <w:rFonts w:ascii="Calibri" w:hAnsi="Calibri" w:eastAsia="맑은 고딕" w:cs="Calibri" w:hint="eastAsia"/>
          <w:b/>
          <w:bCs/>
          <w:color w:val="0B1F3A"/>
          <w:sz w:val="30"/>
          <w:szCs w:val="30"/>
        </w:rPr>
        <w:t xml:space="preserve">부록 D. 제조 깊이별 운용 기준</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2410"/>
        <w:gridCol w:w="2410"/>
        <w:gridCol w:w="2410"/>
        <w:gridCol w:w="2410"/>
      </w:tblGrid>
      <w:tr>
        <w:trPr>
          <w:tblHeader/>
        </w:trPr>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구분</w:t>
            </w:r>
          </w:p>
        </w:tc>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제1층 (표면)</w:t>
            </w:r>
          </w:p>
        </w:tc>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제2층 (조직)</w:t>
            </w:r>
          </w:p>
        </w:tc>
        <w:tc>
          <w:tcPr>
            <w:tcW w:w="2410"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제3층 (세포·유전자)</w:t>
            </w:r>
          </w:p>
        </w:tc>
      </w:tr>
      <w:tr>
        <w:tc>
          <w:tcPr>
            <w:tcW w:w="2410" w:type="dxa"/>
            <w:vAlign w:val="center"/>
          </w:tcPr>
          <w:p>
            <w:pPr>
              <w:spacing w:before="20" w:after="20" w:line="264" w:lineRule="auto"/>
            </w:pPr>
            <w:r>
              <w:rPr>
                <w:rFonts w:ascii="Calibri" w:hAnsi="Calibri" w:eastAsia="맑은 고딕" w:cs="Calibri" w:hint="eastAsia"/>
                <w:b/>
                <w:bCs/>
                <w:color w:val="0B1F3A"/>
                <w:sz w:val="19"/>
                <w:szCs w:val="19"/>
              </w:rPr>
              <w:t xml:space="preserve">제조 품목</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HA · PLLA · PCL · 칼슘 · PDRN</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바이오셀룰로스 창상피복재</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AAV 벡터 · 플라스미드 · 단백질</w:t>
            </w:r>
          </w:p>
        </w:tc>
      </w:tr>
      <w:tr>
        <w:tc>
          <w:tcPr>
            <w:tcW w:w="2410"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제조 주체</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GANA R&amp;D</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GANA R&amp;D</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Dr.Park CDMO</w:t>
            </w:r>
          </w:p>
        </w:tc>
      </w:tr>
      <w:tr>
        <w:tc>
          <w:tcPr>
            <w:tcW w:w="2410" w:type="dxa"/>
            <w:vAlign w:val="center"/>
          </w:tcPr>
          <w:p>
            <w:pPr>
              <w:spacing w:before="20" w:after="20" w:line="264" w:lineRule="auto"/>
            </w:pPr>
            <w:r>
              <w:rPr>
                <w:rFonts w:ascii="Calibri" w:hAnsi="Calibri" w:eastAsia="맑은 고딕" w:cs="Calibri" w:hint="eastAsia"/>
                <w:b/>
                <w:bCs/>
                <w:color w:val="0B1F3A"/>
                <w:sz w:val="19"/>
                <w:szCs w:val="19"/>
              </w:rPr>
              <w:t xml:space="preserve">근거 자료</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РЗН 7건 · MFDS 27건</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РЗН 2024/22431 · MFDS 제인20-4997</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준공 실적 · 장비 도입</w:t>
            </w:r>
          </w:p>
        </w:tc>
      </w:tr>
      <w:tr>
        <w:tc>
          <w:tcPr>
            <w:tcW w:w="2410"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시제</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완료형</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완료형</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진행형</w:t>
            </w:r>
          </w:p>
        </w:tc>
      </w:tr>
      <w:tr>
        <w:tc>
          <w:tcPr>
            <w:tcW w:w="2410" w:type="dxa"/>
            <w:vAlign w:val="center"/>
          </w:tcPr>
          <w:p>
            <w:pPr>
              <w:spacing w:before="20" w:after="20" w:line="264" w:lineRule="auto"/>
            </w:pPr>
            <w:r>
              <w:rPr>
                <w:rFonts w:ascii="Calibri" w:hAnsi="Calibri" w:eastAsia="맑은 고딕" w:cs="Calibri" w:hint="eastAsia"/>
                <w:b/>
                <w:bCs/>
                <w:color w:val="0B1F3A"/>
                <w:sz w:val="19"/>
                <w:szCs w:val="19"/>
              </w:rPr>
              <w:t xml:space="preserve">대상 고객</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유통사 · 의료기관 · ODM</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규제기관 · 의료 유통</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제약·바이오 · 투자자</w:t>
            </w:r>
          </w:p>
        </w:tc>
      </w:tr>
      <w:tr>
        <w:tc>
          <w:tcPr>
            <w:tcW w:w="2410"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커뮤니케이션 기조</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상업 B2B</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규제 · 임상</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기업 · 투자자</w:t>
            </w:r>
          </w:p>
        </w:tc>
      </w:tr>
      <w:tr>
        <w:tc>
          <w:tcPr>
            <w:tcW w:w="2410" w:type="dxa"/>
            <w:vAlign w:val="center"/>
          </w:tcPr>
          <w:p>
            <w:pPr>
              <w:spacing w:before="20" w:after="20" w:line="264" w:lineRule="auto"/>
            </w:pPr>
            <w:r>
              <w:rPr>
                <w:rFonts w:ascii="Calibri" w:hAnsi="Calibri" w:eastAsia="맑은 고딕" w:cs="Calibri" w:hint="eastAsia"/>
                <w:b/>
                <w:bCs/>
                <w:color w:val="0B1F3A"/>
                <w:sz w:val="19"/>
                <w:szCs w:val="19"/>
              </w:rPr>
              <w:t xml:space="preserve">운용 언어</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6개 언어</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영어</w:t>
            </w:r>
          </w:p>
        </w:tc>
        <w:tc>
          <w:tcPr>
            <w:tcW w:w="2410" w:type="dxa"/>
            <w:vAlign w:val="center"/>
          </w:tcPr>
          <w:p>
            <w:pPr>
              <w:spacing w:before="20" w:after="20" w:line="264" w:lineRule="auto"/>
            </w:pPr>
            <w:r>
              <w:rPr>
                <w:rFonts w:ascii="Calibri" w:hAnsi="Calibri" w:eastAsia="맑은 고딕" w:cs="Calibri" w:hint="eastAsia"/>
                <w:color w:val="1A1A1A"/>
                <w:sz w:val="19"/>
                <w:szCs w:val="19"/>
              </w:rPr>
              <w:t xml:space="preserve">영어 (중국어 병행)</w:t>
            </w:r>
          </w:p>
        </w:tc>
      </w:tr>
      <w:tr>
        <w:tc>
          <w:tcPr>
            <w:tcW w:w="2410"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성과 지표</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문의 건수 · 유통사 수</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등록 국가 수</w:t>
            </w:r>
          </w:p>
        </w:tc>
        <w:tc>
          <w:tcPr>
            <w:tcW w:w="2410"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언급 · 등재 · 초청 건수</w:t>
            </w:r>
          </w:p>
        </w:tc>
      </w:tr>
    </w:tbl>
    <w:p>
      <w:pPr>
        <w:spacing w:after="0" w:line="120" w:lineRule="auto"/>
      </w:pPr>
    </w:p>
    <w:p>
      <w:pPr>
        <w:keepNext/>
        <w:spacing w:before="320" w:after="140" w:line="300" w:lineRule="auto"/>
      </w:pPr>
      <w:r>
        <w:rPr>
          <w:rFonts w:ascii="Calibri" w:hAnsi="Calibri" w:eastAsia="맑은 고딕" w:cs="Calibri" w:hint="eastAsia"/>
          <w:b/>
          <w:bCs/>
          <w:color w:val="0B1F3A"/>
          <w:sz w:val="30"/>
          <w:szCs w:val="30"/>
        </w:rPr>
        <w:t xml:space="preserve">부록 E. 사용 제한 표현 전체</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표현</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구분</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사유</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“FDA approved” · “FDA Registered”</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등록은 승인이 아니다. 법적 노출이 가장 큰 항목</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“Russia FDA”</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존재하지 않는 기관명</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“KFDA”</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2013년 폐지된 명칭. 현행 MFDS</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기한 만료 인증 표기</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CE · ISO 만료 확인</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기준 없는 최상급 표현</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실증 책임 발생 (제7장)</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“우리 이름으로 등록”</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등록 명의인은 현지 대리인. “제조자로 기재”가 정확</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원료 자체 합성 주장</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자산대장 미확인. 등재는 제조 범위를 증명하나 원료 합성을 증명하지 않는다</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타사 제품 직접 비교</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사용 금지</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표시광고 및 비교광고 규정</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확정되지 않은 용량 수치</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동결</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11.1. 확정 이전 신규 자료 게시 금지</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그룹 단일 주어</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보류</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자본관계 확인 이전 사용 금지</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의약품급 효능 표현</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시장별 제한</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화장품 부문은 관할별 단서 필요. 확정 전 법무 검토</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외식업 비유 표현</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내부 전용</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다국어 통용성 부족. 제3층에서 신뢰도 저하. 원료 자체 생산을 함의하므로 사용 시 실증 책임 발생</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“파트너십” (장비 공급)</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표현 주의</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실제로는 장비 구매 및 공급사 선정. 확대 해석 시 실사에서 역효과</w:t>
            </w:r>
          </w:p>
        </w:tc>
      </w:tr>
    </w:tbl>
    <w:p>
      <w:pPr>
        <w:spacing w:after="0" w:line="120" w:lineRule="auto"/>
      </w:pPr>
    </w:p>
    <w:p>
      <w:pPr>
        <w:keepNext/>
        <w:spacing w:before="320" w:after="140" w:line="300" w:lineRule="auto"/>
      </w:pPr>
      <w:r>
        <w:rPr>
          <w:rFonts w:ascii="Calibri" w:hAnsi="Calibri" w:eastAsia="맑은 고딕" w:cs="Calibri" w:hint="eastAsia"/>
          <w:b/>
          <w:bCs/>
          <w:color w:val="0B1F3A"/>
          <w:sz w:val="30"/>
          <w:szCs w:val="30"/>
        </w:rPr>
        <w:t xml:space="preserve">부록 F. 경쟁사 생산 용량 조사</w:t>
      </w:r>
    </w:p>
    <w:p>
      <w:pPr>
        <w:keepNext/>
        <w:spacing w:before="140" w:after="40" w:line="300" w:lineRule="auto"/>
      </w:pPr>
      <w:r>
        <w:rPr>
          <w:rFonts w:ascii="Calibri" w:hAnsi="Calibri" w:eastAsia="맑은 고딕" w:cs="Calibri" w:hint="eastAsia"/>
          <w:b/>
          <w:bCs/>
          <w:color w:val="555555"/>
          <w:sz w:val="19"/>
          <w:szCs w:val="19"/>
        </w:rPr>
        <w:t xml:space="preserve">AAV 단일 배치 용량 (공식 자료 기준)</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사업자</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단일 배치</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최상급 주장 기준</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Viralgen</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2,000L</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총 생산능력 및 시설 면적 기준</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Forge Biologics</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5,000L</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“one of the largest” (최상급 미주장)</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Minaris</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2,000L</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품질 기준 (world-class)</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Catalent</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2,000L</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세포치료 및 면적 기준, 최상급 미주장</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Charles River</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500L</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해당 없음</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AGC Biologics</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2,000L</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해당 없음</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Dr.Park CDMO</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확정 전 (11.1)</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해당 없음</w:t>
            </w:r>
          </w:p>
        </w:tc>
      </w:tr>
    </w:tbl>
    <w:p>
      <w:pPr>
        <w:spacing w:after="0" w:line="120" w:lineRule="auto"/>
      </w:pPr>
    </w:p>
    <w:p>
      <w:pPr>
        <w:spacing w:before="0" w:after="140" w:line="300" w:lineRule="auto"/>
        <w:jc w:val="both"/>
      </w:pPr>
      <w:r>
        <w:rPr>
          <w:rFonts w:ascii="Calibri" w:hAnsi="Calibri" w:eastAsia="맑은 고딕" w:cs="Calibri" w:hint="eastAsia"/>
          <w:color w:val="1A1A1A"/>
          <w:sz w:val="21"/>
          <w:szCs w:val="21"/>
        </w:rPr>
        <w:t xml:space="preserve">조사 대상 사업자의 공개 수치 최댓값은 2,000L이고, 어느 사업자도 ‘AAV 단일 배치’ 기준으로 최상급을 주장하지 않는다. 대형 CDMO 다수가 아직 미조사 상태이므로 ‘세계’ 범위의 최상급은 성립하지 않는다.</w:t>
      </w:r>
    </w:p>
    <w:p>
      <w:pPr>
        <w:keepNext/>
        <w:spacing w:before="320" w:after="140" w:line="300" w:lineRule="auto"/>
      </w:pPr>
      <w:r>
        <w:rPr>
          <w:rFonts w:ascii="Calibri" w:hAnsi="Calibri" w:eastAsia="맑은 고딕" w:cs="Calibri" w:hint="eastAsia"/>
          <w:b/>
          <w:bCs/>
          <w:color w:val="0B1F3A"/>
          <w:sz w:val="30"/>
          <w:szCs w:val="30"/>
        </w:rPr>
        <w:t xml:space="preserve">부록 G. 웹 반영 전 확인 항목</w:t>
      </w:r>
    </w:p>
    <w:p>
      <w:pPr>
        <w:spacing w:before="0" w:after="140" w:line="300" w:lineRule="auto"/>
        <w:jc w:val="both"/>
      </w:pPr>
      <w:r>
        <w:rPr>
          <w:rFonts w:ascii="Calibri" w:hAnsi="Calibri" w:eastAsia="맑은 고딕" w:cs="Calibri" w:hint="eastAsia"/>
          <w:color w:val="1A1A1A"/>
          <w:sz w:val="21"/>
          <w:szCs w:val="21"/>
        </w:rPr>
        <w:t xml:space="preserve">다음은 사이트에 게시하기 전에 확인이 필요한 항목이다. 확인 전까지 해당 내용은 게시하지 않는다.</w:t>
      </w:r>
    </w:p>
    <w:tbl>
      <w:tblPr>
        <w:tblW w:w="9638" w:type="dxa"/>
        <w:tblBorders>
          <w:top w:val="single" w:sz="4" w:color="D0D6DC"/>
          <w:left w:val="single" w:sz="4" w:color="D0D6DC"/>
          <w:bottom w:val="single" w:sz="4" w:color="D0D6DC"/>
          <w:right w:val="single" w:sz="4" w:color="D0D6DC"/>
          <w:insideH w:val="single" w:sz="4" w:color="D0D6DC"/>
          <w:insideV w:val="single" w:sz="4" w:color="D0D6DC"/>
        </w:tblBorders>
        <w:tblCellMar>
          <w:top w:w="60" w:type="dxa"/>
          <w:left w:w="90" w:type="dxa"/>
          <w:bottom w:w="60" w:type="dxa"/>
          <w:right w:w="90" w:type="dxa"/>
        </w:tblCellMar>
      </w:tblPr>
      <w:tblGrid>
        <w:gridCol w:w="3213"/>
        <w:gridCol w:w="3213"/>
        <w:gridCol w:w="3213"/>
      </w:tblGrid>
      <w:tr>
        <w:trPr>
          <w:tblHeader/>
        </w:trPr>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순번</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대상</w:t>
            </w:r>
          </w:p>
        </w:tc>
        <w:tc>
          <w:tcPr>
            <w:tcW w:w="3213" w:type="dxa"/>
            <w:shd w:val="clear" w:color="auto" w:fill="0B1F3A"/>
            <w:vAlign w:val="center"/>
          </w:tcPr>
          <w:p>
            <w:pPr>
              <w:spacing w:before="20" w:after="20" w:line="264" w:lineRule="auto"/>
            </w:pPr>
            <w:r>
              <w:rPr>
                <w:rFonts w:ascii="Calibri" w:hAnsi="Calibri" w:eastAsia="맑은 고딕" w:cs="Calibri" w:hint="eastAsia"/>
                <w:b/>
                <w:bCs/>
                <w:color w:val="FFFFFF"/>
                <w:sz w:val="19"/>
                <w:szCs w:val="19"/>
              </w:rPr>
              <w:t xml:space="preserve">확인 사유</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1</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계열 범위 · 순서</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그룹 명칭 사용 법인의 범위가 자료마다 상이. 확정 후 네비게이션 반영</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2</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위탁제조 브랜드 인용 가부</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타사 브랜드 제품(영국 Class III 등)의 제조 실적을 대외 인용할 수 있는지는 계약이 정한다</w:t>
            </w:r>
          </w:p>
        </w:tc>
      </w:tr>
      <w:tr>
        <w:tc>
          <w:tcPr>
            <w:tcW w:w="3213" w:type="dxa"/>
            <w:vAlign w:val="center"/>
          </w:tcPr>
          <w:p>
            <w:pPr>
              <w:spacing w:before="20" w:after="20" w:line="264" w:lineRule="auto"/>
            </w:pPr>
            <w:r>
              <w:rPr>
                <w:rFonts w:ascii="Calibri" w:hAnsi="Calibri" w:eastAsia="맑은 고딕" w:cs="Calibri" w:hint="eastAsia"/>
                <w:b/>
                <w:bCs/>
                <w:color w:val="0B1F3A"/>
                <w:sz w:val="19"/>
                <w:szCs w:val="19"/>
              </w:rPr>
              <w:t xml:space="preserve">3</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배치 용량 확정치</w:t>
            </w:r>
          </w:p>
        </w:tc>
        <w:tc>
          <w:tcPr>
            <w:tcW w:w="3213" w:type="dxa"/>
            <w:vAlign w:val="center"/>
          </w:tcPr>
          <w:p>
            <w:pPr>
              <w:spacing w:before="20" w:after="20" w:line="264" w:lineRule="auto"/>
            </w:pPr>
            <w:r>
              <w:rPr>
                <w:rFonts w:ascii="Calibri" w:hAnsi="Calibri" w:eastAsia="맑은 고딕" w:cs="Calibri" w:hint="eastAsia"/>
                <w:color w:val="1A1A1A"/>
                <w:sz w:val="19"/>
                <w:szCs w:val="19"/>
              </w:rPr>
              <w:t xml:space="preserve">5,000 / 6,000 / 200,000L 중 정본. 확정 전 사이트 미게시</w:t>
            </w:r>
          </w:p>
        </w:tc>
      </w:tr>
      <w:tr>
        <w:tc>
          <w:tcPr>
            <w:tcW w:w="3213" w:type="dxa"/>
            <w:shd w:val="clear" w:color="auto" w:fill="F4F6F8"/>
            <w:vAlign w:val="center"/>
          </w:tcPr>
          <w:p>
            <w:pPr>
              <w:spacing w:before="20" w:after="20" w:line="264" w:lineRule="auto"/>
            </w:pPr>
            <w:r>
              <w:rPr>
                <w:rFonts w:ascii="Calibri" w:hAnsi="Calibri" w:eastAsia="맑은 고딕" w:cs="Calibri" w:hint="eastAsia"/>
                <w:b/>
                <w:bCs/>
                <w:color w:val="0B1F3A"/>
                <w:sz w:val="19"/>
                <w:szCs w:val="19"/>
              </w:rPr>
              <w:t xml:space="preserve">4</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경쟁사 단일 배치 용량 (대형 CDMO)</w:t>
            </w:r>
          </w:p>
        </w:tc>
        <w:tc>
          <w:tcPr>
            <w:tcW w:w="3213" w:type="dxa"/>
            <w:shd w:val="clear" w:color="auto" w:fill="F4F6F8"/>
            <w:vAlign w:val="center"/>
          </w:tcPr>
          <w:p>
            <w:pPr>
              <w:spacing w:before="20" w:after="20" w:line="264" w:lineRule="auto"/>
            </w:pPr>
            <w:r>
              <w:rPr>
                <w:rFonts w:ascii="Calibri" w:hAnsi="Calibri" w:eastAsia="맑은 고딕" w:cs="Calibri" w:hint="eastAsia"/>
                <w:color w:val="1A1A1A"/>
                <w:sz w:val="19"/>
                <w:szCs w:val="19"/>
              </w:rPr>
              <w:t xml:space="preserve">공식 자료 미공개. 규모 최상급 표현 사용의 선행 조건</w:t>
            </w:r>
          </w:p>
        </w:tc>
      </w:tr>
    </w:tbl>
    <w:p>
      <w:pPr>
        <w:spacing w:after="0" w:line="120" w:lineRule="auto"/>
      </w:pPr>
    </w:p>
    <w:p>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ascii="Calibri" w:hAnsi="Calibri" w:eastAsia="맑은 고딕" w:cs="Calibri" w:hint="eastAsia"/>
          <w:color w:val="1A1A1A"/>
          <w:sz w:val="20"/>
          <w:szCs w:val="20"/>
        </w:rPr>
        <w:t xml:space="preserve">본 기획서 제2판은 2026년 7월 23일 기준으로 작성되었다. 확인되지 않은 항목은 명시적으로 구분하여 기록하였으며, 미확인 항목은 대외 커뮤니케이션에 사용하지 않는 것을 원칙으로 한다. 본 문서는 내부 검토용이며 외부 배포를 금한다.</w:t>
      </w:r>
    </w:p>
    <w:sectPr>
      <w:pgSz w:w="11906" w:h="16838"/>
      <w:pgMar w:top="1418" w:right="1418" w:bottom="1418" w:left="1418" w:header="720" w:footer="720" w:gutter="0"/>
    </w:sectPr>
  </w:body>
</w:document>
</file>

<file path=word/styles.xml><?xml version="1.0" encoding="utf-8"?>
<w:styles xmlns:w="http://schemas.openxmlformats.org/wordprocessingml/2006/main">
  <w:docDefaults>
    <w:rPrDefault>
      <w:rPr>
        <w:rFonts w:ascii="Calibri" w:hAnsi="Calibri" w:eastAsia="맑은 고딕" w:cs="Calibri"/>
        <w:sz w:val="21"/>
        <w:szCs w:val="21"/>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